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20p3u45upra2" w:id="0"/>
      <w:bookmarkEnd w:id="0"/>
      <w:r w:rsidDel="00000000" w:rsidR="00000000" w:rsidRPr="00000000">
        <w:rPr>
          <w:color w:val="353744"/>
          <w:sz w:val="34"/>
          <w:szCs w:val="34"/>
          <w:rtl w:val="0"/>
        </w:rPr>
        <w:t xml:space="preserve">Infrastructure Around Private Assets: The Legal Landscape</w:t>
      </w:r>
    </w:p>
    <w:p w:rsidR="00000000" w:rsidDel="00000000" w:rsidP="00000000" w:rsidRDefault="00000000" w:rsidRPr="00000000" w14:paraId="00000002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oe3dvmsbo3iw" w:id="1"/>
      <w:bookmarkEnd w:id="1"/>
      <w:r w:rsidDel="00000000" w:rsidR="00000000" w:rsidRPr="00000000">
        <w:rPr>
          <w:b w:val="1"/>
          <w:bCs w:val="1"/>
          <w:rtl w:val="0"/>
        </w:rPr>
        <w:t xml:space="preserve">1. Types of Work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category includes: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Site servicing (storm, sanitary, watermain connections)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Road widening or access upgrades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Utility relocations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Stormwater ponds or retention systems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Hydro, telecom, and lighting installations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Sidewalks, curbs, paving tied to development charges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often required by: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Site Plan Agreements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Subdivision Agreements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Development Charges Agreements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the developer pays, the work is governed by public standards (e.g., OPSS specs, municipal approvals), and the owner must post security to ensure it’s completed properly.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g62fu4avx8no" w:id="2"/>
      <w:bookmarkEnd w:id="2"/>
      <w:r w:rsidDel="00000000" w:rsidR="00000000" w:rsidRPr="00000000">
        <w:rPr>
          <w:b w:val="1"/>
          <w:bCs w:val="1"/>
          <w:rtl w:val="0"/>
        </w:rPr>
        <w:t xml:space="preserve">2. Who Are the Players?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Private developers or property owners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Contractors and subs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Municipal reviewers (engineering or infrastructure departments)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Consulting engineers (often contract administrators)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Sometimes utility companies (Enbridge, Hydro, Bell) also act as gatekeepers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7dmqjywoum4o" w:id="3"/>
      <w:bookmarkEnd w:id="3"/>
      <w:r w:rsidDel="00000000" w:rsidR="00000000" w:rsidRPr="00000000">
        <w:rPr>
          <w:b w:val="1"/>
          <w:bCs w:val="1"/>
          <w:rtl w:val="0"/>
        </w:rPr>
        <w:t xml:space="preserve">3. Legal Risk Zones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though the job is “private,” a lot of public-sector headaches show up: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bCs w:val="1"/>
          <w:color w:val="353744"/>
          <w:u w:val="none"/>
        </w:rPr>
      </w:pPr>
      <w:bookmarkStart w:colFirst="0" w:colLast="0" w:name="_j53eylu4rshm" w:id="4"/>
      <w:bookmarkEnd w:id="4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u w:val="none"/>
          <w:rtl w:val="0"/>
        </w:rPr>
        <w:t xml:space="preserve">a. Scope Creep &amp; Regulatory Creep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Developers often tell contractors “just do what the City wants,” but cities don’t always give formal instructions.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 ends up eating delays and changes unless it’s clearly scoped in the bid and properly documented.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bCs w:val="1"/>
          <w:color w:val="353744"/>
          <w:u w:val="none"/>
        </w:rPr>
      </w:pPr>
      <w:bookmarkStart w:colFirst="0" w:colLast="0" w:name="_nc00bssqdk0p" w:id="5"/>
      <w:bookmarkEnd w:id="5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u w:val="none"/>
          <w:rtl w:val="0"/>
        </w:rPr>
        <w:t xml:space="preserve">b. Payment Disputes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developer may delay payment, claiming the City hasn’t approved the work.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they may wait until the City releases their performance security before paying the contractor—</w:t>
      </w:r>
      <w:r w:rsidDel="00000000" w:rsidR="00000000" w:rsidRPr="00000000">
        <w:rPr>
          <w:i w:val="1"/>
          <w:iCs w:val="1"/>
          <w:rtl w:val="0"/>
        </w:rPr>
        <w:t xml:space="preserve">which could take months or years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bCs w:val="1"/>
          <w:color w:val="353744"/>
          <w:u w:val="none"/>
        </w:rPr>
      </w:pPr>
      <w:bookmarkStart w:colFirst="0" w:colLast="0" w:name="_f2rzlytsd571" w:id="6"/>
      <w:bookmarkEnd w:id="6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u w:val="none"/>
          <w:rtl w:val="0"/>
        </w:rPr>
        <w:t xml:space="preserve">c. Design/Field Discrepancies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Drawings approved by the City might not match actual site conditions.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 stuck between “built per drawing” and “City won’t approve unless it’s redone.”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bCs w:val="1"/>
          <w:color w:val="353744"/>
          <w:u w:val="none"/>
        </w:rPr>
      </w:pPr>
      <w:bookmarkStart w:colFirst="0" w:colLast="0" w:name="_fkm1dfm1xgpv" w:id="7"/>
      <w:bookmarkEnd w:id="7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u w:val="none"/>
          <w:rtl w:val="0"/>
        </w:rPr>
        <w:t xml:space="preserve">d. No Payment Certifier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Without a payment certifier (like on public jobs), it’s unclear who validates when work is completed or certifies substantial performance.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This becomes critical for lien holdback timelines and substantial performance declarations under the Construction Act. </w:t>
      </w:r>
    </w:p>
    <w:p w:rsidR="00000000" w:rsidDel="00000000" w:rsidP="00000000" w:rsidRDefault="00000000" w:rsidRPr="00000000" w14:paraId="00000025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3homh59mqgjr" w:id="8"/>
      <w:bookmarkEnd w:id="8"/>
      <w:r w:rsidDel="00000000" w:rsidR="00000000" w:rsidRPr="00000000">
        <w:rPr>
          <w:b w:val="1"/>
          <w:bCs w:val="1"/>
          <w:rtl w:val="0"/>
        </w:rPr>
        <w:t xml:space="preserve">4. Construction Act Still Applies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though the project is private, the </w:t>
      </w:r>
      <w:r w:rsidDel="00000000" w:rsidR="00000000" w:rsidRPr="00000000">
        <w:rPr>
          <w:b w:val="1"/>
          <w:bCs w:val="1"/>
          <w:rtl w:val="0"/>
        </w:rPr>
        <w:t xml:space="preserve">Construction Act rules still apply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10% holdback until 45 days after substantial performance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Lien rights (but not against the municipality if it’s their land—only against the developer’s interest)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Prompt payment and adjudication if a proper invoice is issued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Watch Out:</w:t>
      </w:r>
      <w:r w:rsidDel="00000000" w:rsidR="00000000" w:rsidRPr="00000000">
        <w:rPr>
          <w:rtl w:val="0"/>
        </w:rPr>
        <w:t xml:space="preserve"> Developers sometimes claim that site servicing or infrastructure is outside the Construction Act (e.g., “it’s part of the municipal agreement”)—but that’s usually BS. Unless it’s 100% public land and 100% public money, the contractor likely has a lien right and should act accordingly. 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jx7dv4ilzura" w:id="9"/>
      <w:bookmarkEnd w:id="9"/>
      <w:r w:rsidDel="00000000" w:rsidR="00000000" w:rsidRPr="00000000">
        <w:rPr>
          <w:b w:val="1"/>
          <w:bCs w:val="1"/>
          <w:rtl w:val="0"/>
        </w:rPr>
        <w:t xml:space="preserve">5. Practical Strategies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Clarify who the “owner” is under the Construction Act—it’s not always obvious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Push for clear timelines in the servicing contract (especially for milestone approvals and payment triggers)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Track and document all field directions, even if they come from the City via the developer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Don’t wait too long to lien—even if the project seems “ongoing,” the 60/90 day clock can sneak up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Ask for a copy of the site plan or servicing agreement—it helps map out what the City will or won’t allow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80" w:before="360" w:line="312" w:lineRule="auto"/>
        <w:rPr/>
      </w:pPr>
      <w:bookmarkStart w:colFirst="0" w:colLast="0" w:name="_plusqv3hrvvl" w:id="10"/>
      <w:bookmarkEnd w:id="10"/>
      <w:r w:rsidDel="00000000" w:rsidR="00000000" w:rsidRPr="00000000">
        <w:rPr>
          <w:color w:val="353744"/>
          <w:sz w:val="34"/>
          <w:szCs w:val="34"/>
          <w:rtl w:val="0"/>
        </w:rPr>
        <w:t xml:space="preserve">Public Infrastructure: The Legal Landscape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infrastructure construction projects in Ontario, which usually means public sector work: municipal, provincial, or federally funded projects like roads, bridges, water systems, transit.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to mid-sized infrastructure projects </w:t>
      </w:r>
    </w:p>
    <w:p w:rsidR="00000000" w:rsidDel="00000000" w:rsidP="00000000" w:rsidRDefault="00000000" w:rsidRPr="00000000" w14:paraId="00000036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1szk26sb8all" w:id="11"/>
      <w:bookmarkEnd w:id="11"/>
      <w:r w:rsidDel="00000000" w:rsidR="00000000" w:rsidRPr="00000000">
        <w:rPr>
          <w:b w:val="1"/>
          <w:bCs w:val="1"/>
          <w:rtl w:val="0"/>
        </w:rPr>
        <w:t xml:space="preserve">1. Who’s Involved in Small Infra Jobs?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Municipalities (cities, towns, townships)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School boards or hospital authorities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Crown corporations or agencies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General contractors, often with a few key subs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Consulting engineers and contract administrators (usually more influential than lawyers in early stages) </w:t>
      </w:r>
    </w:p>
    <w:p w:rsidR="00000000" w:rsidDel="00000000" w:rsidP="00000000" w:rsidRDefault="00000000" w:rsidRPr="00000000" w14:paraId="0000003C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qgx2bum2854z" w:id="12"/>
      <w:bookmarkEnd w:id="12"/>
      <w:r w:rsidDel="00000000" w:rsidR="00000000" w:rsidRPr="00000000">
        <w:rPr>
          <w:b w:val="1"/>
          <w:bCs w:val="1"/>
          <w:rtl w:val="0"/>
        </w:rPr>
        <w:t xml:space="preserve">2. Procurement &amp; Contracting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Smaller infrastructure jobs often use: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RFT (Request for Tender) – fixed-price, low-bid wins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RFP (Request for Proposals) – price + technical weighting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Unit price contracts – for linear work like roads or watermains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CCDC 4, 5A/5B or OPSS-based contracts – these are standardized, but municipalities often add </w:t>
      </w:r>
      <w:r w:rsidDel="00000000" w:rsidR="00000000" w:rsidRPr="00000000">
        <w:rPr>
          <w:i w:val="1"/>
          <w:iCs w:val="1"/>
          <w:rtl w:val="0"/>
        </w:rPr>
        <w:t xml:space="preserve">brutal</w:t>
      </w:r>
      <w:r w:rsidDel="00000000" w:rsidR="00000000" w:rsidRPr="00000000">
        <w:rPr>
          <w:rtl w:val="0"/>
        </w:rPr>
        <w:t xml:space="preserve"> supplementary conditions.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Trap: Many municipalities bury aggressive clauses in their "Supplementary Conditions"—e.g., shifting design liability to the contractor, reducing claim timeframes, or limiting change order rights. </w:t>
      </w:r>
    </w:p>
    <w:p w:rsidR="00000000" w:rsidDel="00000000" w:rsidP="00000000" w:rsidRDefault="00000000" w:rsidRPr="00000000" w14:paraId="00000043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aej5zm8bkrhk" w:id="13"/>
      <w:bookmarkEnd w:id="13"/>
      <w:r w:rsidDel="00000000" w:rsidR="00000000" w:rsidRPr="00000000">
        <w:rPr>
          <w:b w:val="1"/>
          <w:bCs w:val="1"/>
          <w:rtl w:val="0"/>
        </w:rPr>
        <w:t xml:space="preserve">3. Construction Act Compliance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even small infrastructure projects are fully subject to: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Prompt payment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Adjudication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Lien rights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in infra jobs, you’re often dealing with: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Municipal owners who can </w:t>
      </w:r>
      <w:r w:rsidDel="00000000" w:rsidR="00000000" w:rsidRPr="00000000">
        <w:rPr>
          <w:i w:val="1"/>
          <w:iCs w:val="1"/>
          <w:rtl w:val="0"/>
        </w:rPr>
        <w:t xml:space="preserve">delay payment</w:t>
      </w:r>
      <w:r w:rsidDel="00000000" w:rsidR="00000000" w:rsidRPr="00000000">
        <w:rPr>
          <w:rtl w:val="0"/>
        </w:rPr>
        <w:t xml:space="preserve"> without consequences (in practice)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Delays in certifying payment by the contract admin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Subcontractors who aren’t looped in when payments are held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 Invoices must be submitted per the Act, and payment disputes go to adjudication, which can be useful—</w:t>
      </w:r>
      <w:r w:rsidDel="00000000" w:rsidR="00000000" w:rsidRPr="00000000">
        <w:rPr>
          <w:i w:val="1"/>
          <w:iCs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 the contractor is bold enough to trigger it. </w:t>
      </w:r>
    </w:p>
    <w:p w:rsidR="00000000" w:rsidDel="00000000" w:rsidP="00000000" w:rsidRDefault="00000000" w:rsidRPr="00000000" w14:paraId="0000004D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8lgf1rq5g1o4" w:id="14"/>
      <w:bookmarkEnd w:id="14"/>
      <w:r w:rsidDel="00000000" w:rsidR="00000000" w:rsidRPr="00000000">
        <w:rPr>
          <w:b w:val="1"/>
          <w:bCs w:val="1"/>
          <w:rtl w:val="0"/>
        </w:rPr>
        <w:t xml:space="preserve">4. Common Disputes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Delay claims (especially utility conflicts, permit issues, site access)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Unpaid extras / change orders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Unforeseen site conditions (rock, contaminated soil, utilities not shown on drawings)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Scope creep caused by poor design (and design consultants who gaslight the contractor)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Aggressive contract administrators (often more interested in protecting the owner than being neutral)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small infra contractors don’t push back because: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want to stay on the bid list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can’t afford to adjudicate mid-project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don’t understand their legal rights under the </w:t>
      </w:r>
      <w:r w:rsidDel="00000000" w:rsidR="00000000" w:rsidRPr="00000000">
        <w:rPr>
          <w:b w:val="1"/>
          <w:bCs w:val="1"/>
          <w:rtl w:val="0"/>
        </w:rPr>
        <w:t xml:space="preserve">Construction Act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8qglwuckba1x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nedp6f5jsh57" w:id="16"/>
      <w:bookmarkEnd w:id="16"/>
      <w:r w:rsidDel="00000000" w:rsidR="00000000" w:rsidRPr="00000000">
        <w:rPr>
          <w:b w:val="1"/>
          <w:bCs w:val="1"/>
          <w:rtl w:val="0"/>
        </w:rPr>
        <w:t xml:space="preserve">5. Lien Rights on Public Lands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can’t lien crown land, but here’s what you can do: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File a Notice of Lien against the holdback held by the municipality or agency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This protects your right to payment even if the project is on public land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Must preserve lien within 60 days of last supply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Must perfect within 90 days via court action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often misunderstood by subs and smaller GCs. </w:t>
      </w:r>
    </w:p>
    <w:p w:rsidR="00000000" w:rsidDel="00000000" w:rsidP="00000000" w:rsidRDefault="00000000" w:rsidRPr="00000000" w14:paraId="0000005F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abmshw98g1ff" w:id="17"/>
      <w:bookmarkEnd w:id="17"/>
      <w:r w:rsidDel="00000000" w:rsidR="00000000" w:rsidRPr="00000000">
        <w:rPr>
          <w:b w:val="1"/>
          <w:bCs w:val="1"/>
          <w:rtl w:val="0"/>
        </w:rPr>
        <w:t xml:space="preserve">6. Strategic Tips for Contractors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Read the Supplementary Conditions—they’re more important than the standard contract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 everything—diary notes, RFIs, site instructions, emails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Submit delay notices in writing even if you think they’ll be ignored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Watch the clock on invoicing, non-payment notices, lien and adjudication deadlines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Build a relationship with the contract admin—they’re often the gatekeeper to payment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https://www.whitesandfirstnation.com/sagatay-economic-development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https://www.google.com/search?q=Sagatay+Economic+Development+whitesand+mining&amp;sca_esv=8b3bacb7b59c53ad&amp;rlz=1C5CHFA_enCA997CA997&amp;ei=J4LcZ5i3K82z0PEPg6jtIA&amp;start=10&amp;sa=N&amp;sstk=Af40H4XWomso2ancysekYaDTlEkdNKbnEcScXL0paubX7TebVFXnI-2Dwu_Yp8oUCNDwa5JKCExHsmMG38kKbSy_0JTM4SIo2Qqdlg&amp;ved=2ahUKEwjY5omIx5mMAxXNGTQIHQNUGwQQ8NMDegQIGBAW&amp;biw=2286&amp;bih=1206&amp;dpr=2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​​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https://www.northwesthealthline.ca/displayservice.aspx?id=140598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https://www.ontario.ca/page/ministry-review-goldcorp-musselwhite-mine-main-power-supply-project-environmental-assessment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whitesandfirstnation.com/sagatay-economic-development" TargetMode="External"/><Relationship Id="rId7" Type="http://schemas.openxmlformats.org/officeDocument/2006/relationships/hyperlink" Target="https://www.northwesthealthline.ca/displayservice.aspx?id=14059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