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2">
      <w:pPr>
        <w:spacing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3">
      <w:pPr>
        <w:spacing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4">
      <w:pPr>
        <w:spacing w:line="240" w:lineRule="auto"/>
        <w:ind w:right="90"/>
        <w:rPr>
          <w:rFonts w:ascii="Times New Roman" w:cs="Times New Roman" w:eastAsia="Times New Roman" w:hAnsi="Times New Roman"/>
          <w:color w:val="666666"/>
          <w:sz w:val="20"/>
          <w:szCs w:val="20"/>
        </w:rPr>
      </w:pPr>
      <w:hyperlink r:id="rId6">
        <w:r w:rsidDel="00000000" w:rsidR="00000000" w:rsidRPr="00000000">
          <w:rPr>
            <w:rFonts w:ascii="Times New Roman" w:cs="Times New Roman" w:eastAsia="Times New Roman" w:hAnsi="Times New Roman"/>
            <w:color w:val="1155cc"/>
            <w:sz w:val="20"/>
            <w:szCs w:val="20"/>
            <w:u w:val="single"/>
            <w:rtl w:val="0"/>
          </w:rPr>
          <w:t xml:space="preserve">office@levinelegal.ca</w:t>
        </w:r>
      </w:hyperlink>
      <w:r w:rsidDel="00000000" w:rsidR="00000000" w:rsidRPr="00000000">
        <w:rPr>
          <w:rtl w:val="0"/>
        </w:rPr>
      </w:r>
    </w:p>
    <w:p w:rsidR="00000000" w:rsidDel="00000000" w:rsidP="00000000" w:rsidRDefault="00000000" w:rsidRPr="00000000" w14:paraId="00000005">
      <w:pPr>
        <w:pStyle w:val="Title"/>
        <w:rPr/>
      </w:pPr>
      <w:bookmarkStart w:colFirst="0" w:colLast="0" w:name="_30qncsiwgs8c" w:id="0"/>
      <w:bookmarkEnd w:id="0"/>
      <w:r w:rsidDel="00000000" w:rsidR="00000000" w:rsidRPr="00000000">
        <w:rPr>
          <w:rtl w:val="0"/>
        </w:rPr>
      </w:r>
    </w:p>
    <w:p w:rsidR="00000000" w:rsidDel="00000000" w:rsidP="00000000" w:rsidRDefault="00000000" w:rsidRPr="00000000" w14:paraId="00000006">
      <w:pPr>
        <w:pStyle w:val="Title"/>
        <w:rPr/>
      </w:pPr>
      <w:bookmarkStart w:colFirst="0" w:colLast="0" w:name="_4iu2rbwauyhk" w:id="1"/>
      <w:bookmarkEnd w:id="1"/>
      <w:r w:rsidDel="00000000" w:rsidR="00000000" w:rsidRPr="00000000">
        <w:rPr>
          <w:rtl w:val="0"/>
        </w:rPr>
        <w:t xml:space="preserve">Contract Law - Securitization -  </w:t>
      </w:r>
      <w:r w:rsidDel="00000000" w:rsidR="00000000" w:rsidRPr="00000000">
        <w:rPr>
          <w:rtl w:val="0"/>
        </w:rPr>
        <w:t xml:space="preserve">Purchase-Money Security Interest Procedure (ON)</w:t>
      </w:r>
    </w:p>
    <w:p w:rsidR="00000000" w:rsidDel="00000000" w:rsidP="00000000" w:rsidRDefault="00000000" w:rsidRPr="00000000" w14:paraId="00000007">
      <w:pPr>
        <w:pStyle w:val="Title"/>
        <w:spacing w:line="408" w:lineRule="auto"/>
        <w:rPr/>
      </w:pPr>
      <w:bookmarkStart w:colFirst="0" w:colLast="0" w:name="_wa3he8nrzdgk" w:id="2"/>
      <w:bookmarkEnd w:id="2"/>
      <w:r w:rsidDel="00000000" w:rsidR="00000000" w:rsidRPr="00000000">
        <w:rPr>
          <w:rtl w:val="0"/>
        </w:rPr>
      </w:r>
    </w:p>
    <w:p w:rsidR="00000000" w:rsidDel="00000000" w:rsidP="00000000" w:rsidRDefault="00000000" w:rsidRPr="00000000" w14:paraId="00000008">
      <w:pPr>
        <w:pStyle w:val="Title"/>
        <w:spacing w:line="408" w:lineRule="auto"/>
        <w:rPr/>
      </w:pPr>
      <w:bookmarkStart w:colFirst="0" w:colLast="0" w:name="_3zor3jjh5kkp" w:id="3"/>
      <w:bookmarkEnd w:id="3"/>
      <w:r w:rsidDel="00000000" w:rsidR="00000000" w:rsidRPr="00000000">
        <w:rPr>
          <w:rtl w:val="0"/>
        </w:rPr>
      </w:r>
    </w:p>
    <w:p w:rsidR="00000000" w:rsidDel="00000000" w:rsidP="00000000" w:rsidRDefault="00000000" w:rsidRPr="00000000" w14:paraId="00000009">
      <w:pPr>
        <w:spacing w:line="408" w:lineRule="auto"/>
        <w:rPr>
          <w:rFonts w:ascii="Verdana" w:cs="Verdana" w:eastAsia="Verdana" w:hAnsi="Verdana"/>
          <w:b w:val="1"/>
          <w:bCs w:val="1"/>
          <w:i w:val="1"/>
          <w:iCs w:val="1"/>
          <w:color w:val="008a00"/>
          <w:sz w:val="18"/>
          <w:szCs w:val="18"/>
          <w:highlight w:val="white"/>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In Ontario, the </w:t>
      </w:r>
      <w:r w:rsidDel="00000000" w:rsidR="00000000" w:rsidRPr="00000000">
        <w:rPr>
          <w:rFonts w:ascii="Verdana" w:cs="Verdana" w:eastAsia="Verdana" w:hAnsi="Verdana"/>
          <w:i w:val="1"/>
          <w:iCs w:val="1"/>
          <w:color w:val="212121"/>
          <w:sz w:val="18"/>
          <w:szCs w:val="18"/>
          <w:highlight w:val="white"/>
          <w:rtl w:val="0"/>
        </w:rPr>
        <w:t xml:space="preserve">Personal Property Security Act</w:t>
      </w:r>
      <w:r w:rsidDel="00000000" w:rsidR="00000000" w:rsidRPr="00000000">
        <w:rPr>
          <w:rFonts w:ascii="Verdana" w:cs="Verdana" w:eastAsia="Verdana" w:hAnsi="Verdana"/>
          <w:color w:val="212121"/>
          <w:sz w:val="18"/>
          <w:szCs w:val="18"/>
          <w:highlight w:val="white"/>
          <w:rtl w:val="0"/>
        </w:rPr>
        <w:t xml:space="preserve">, </w:t>
      </w:r>
      <w:hyperlink r:id="rId7">
        <w:r w:rsidDel="00000000" w:rsidR="00000000" w:rsidRPr="00000000">
          <w:rPr>
            <w:rFonts w:ascii="Verdana" w:cs="Verdana" w:eastAsia="Verdana" w:hAnsi="Verdana"/>
            <w:color w:val="006ebb"/>
            <w:sz w:val="18"/>
            <w:szCs w:val="18"/>
            <w:highlight w:val="white"/>
            <w:u w:val="single"/>
            <w:rtl w:val="0"/>
          </w:rPr>
          <w:t xml:space="preserve">R.S.O. 1990, c. P.10</w:t>
        </w:r>
      </w:hyperlink>
      <w:r w:rsidDel="00000000" w:rsidR="00000000" w:rsidRPr="00000000">
        <w:rPr>
          <w:rFonts w:ascii="Verdana" w:cs="Verdana" w:eastAsia="Verdana" w:hAnsi="Verdana"/>
          <w:color w:val="212121"/>
          <w:sz w:val="18"/>
          <w:szCs w:val="18"/>
          <w:highlight w:val="white"/>
          <w:rtl w:val="0"/>
        </w:rPr>
        <w:t xml:space="preserve"> (the "PPSA") governs all security interests in personal property. A vendor or lender can take a special security interest in collateral for all or part of the price of that collateral. This is called a purchase-money security interest ("PMSI"). For a definition of "purchase-money security", see s. </w:t>
      </w:r>
      <w:hyperlink r:id="rId8">
        <w:r w:rsidDel="00000000" w:rsidR="00000000" w:rsidRPr="00000000">
          <w:rPr>
            <w:rFonts w:ascii="Verdana" w:cs="Verdana" w:eastAsia="Verdana" w:hAnsi="Verdana"/>
            <w:color w:val="006ebb"/>
            <w:sz w:val="18"/>
            <w:szCs w:val="18"/>
            <w:highlight w:val="white"/>
            <w:u w:val="single"/>
            <w:rtl w:val="0"/>
          </w:rPr>
          <w:t xml:space="preserve">1</w:t>
        </w:r>
      </w:hyperlink>
      <w:r w:rsidDel="00000000" w:rsidR="00000000" w:rsidRPr="00000000">
        <w:rPr>
          <w:rFonts w:ascii="Verdana" w:cs="Verdana" w:eastAsia="Verdana" w:hAnsi="Verdana"/>
          <w:color w:val="212121"/>
          <w:sz w:val="18"/>
          <w:szCs w:val="18"/>
          <w:highlight w:val="white"/>
          <w:rtl w:val="0"/>
        </w:rPr>
        <w:t xml:space="preserve">(1) of the PPSA. In order to create a PMSI, the interest must qualify as such, and the vendor must strictly follow the statutory procedure. This practice note describes that procedure in detail and includes some practical tips for ensuring the PMSI protects the vendor/lender as much as possible.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For information on rights and remedies under default, see practice notes: </w:t>
      </w:r>
      <w:hyperlink r:id="rId9">
        <w:r w:rsidDel="00000000" w:rsidR="00000000" w:rsidRPr="00000000">
          <w:rPr>
            <w:rFonts w:ascii="Verdana" w:cs="Verdana" w:eastAsia="Verdana" w:hAnsi="Verdana"/>
            <w:color w:val="006ebb"/>
            <w:sz w:val="18"/>
            <w:szCs w:val="18"/>
            <w:highlight w:val="white"/>
            <w:u w:val="single"/>
            <w:rtl w:val="0"/>
          </w:rPr>
          <w:t xml:space="preserve">Enforcement Options under Part V of the PPSA</w:t>
        </w:r>
      </w:hyperlink>
      <w:r w:rsidDel="00000000" w:rsidR="00000000" w:rsidRPr="00000000">
        <w:rPr>
          <w:rFonts w:ascii="Verdana" w:cs="Verdana" w:eastAsia="Verdana" w:hAnsi="Verdana"/>
          <w:color w:val="212121"/>
          <w:sz w:val="18"/>
          <w:szCs w:val="18"/>
          <w:highlight w:val="white"/>
          <w:rtl w:val="0"/>
        </w:rPr>
        <w:t xml:space="preserve"> and </w:t>
      </w:r>
      <w:hyperlink r:id="rId10">
        <w:r w:rsidDel="00000000" w:rsidR="00000000" w:rsidRPr="00000000">
          <w:rPr>
            <w:rFonts w:ascii="Verdana" w:cs="Verdana" w:eastAsia="Verdana" w:hAnsi="Verdana"/>
            <w:color w:val="006ebb"/>
            <w:sz w:val="18"/>
            <w:szCs w:val="18"/>
            <w:highlight w:val="white"/>
            <w:u w:val="single"/>
            <w:rtl w:val="0"/>
          </w:rPr>
          <w:t xml:space="preserve">Creditors' Rights and Remedies under the PPSA</w:t>
        </w:r>
      </w:hyperlink>
      <w:r w:rsidDel="00000000" w:rsidR="00000000" w:rsidRPr="00000000">
        <w:rPr>
          <w:rFonts w:ascii="Verdana" w:cs="Verdana" w:eastAsia="Verdana" w:hAnsi="Verdana"/>
          <w:color w:val="212121"/>
          <w:sz w:val="18"/>
          <w:szCs w:val="18"/>
          <w:highlight w:val="white"/>
          <w:rtl w:val="0"/>
        </w:rPr>
        <w:t xml:space="preserve">. For information on a creditor's process to foreclose on collateral to satisfy a secured debt, see the practice note: </w:t>
      </w:r>
      <w:hyperlink r:id="rId11">
        <w:r w:rsidDel="00000000" w:rsidR="00000000" w:rsidRPr="00000000">
          <w:rPr>
            <w:rFonts w:ascii="Verdana" w:cs="Verdana" w:eastAsia="Verdana" w:hAnsi="Verdana"/>
            <w:color w:val="006ebb"/>
            <w:sz w:val="18"/>
            <w:szCs w:val="18"/>
            <w:highlight w:val="white"/>
            <w:u w:val="single"/>
            <w:rtl w:val="0"/>
          </w:rPr>
          <w:t xml:space="preserve">Foreclosure Proceedings under the PPSA</w:t>
        </w:r>
      </w:hyperlink>
      <w:r w:rsidDel="00000000" w:rsidR="00000000" w:rsidRPr="00000000">
        <w:rPr>
          <w:rFonts w:ascii="Verdana" w:cs="Verdana" w:eastAsia="Verdana" w:hAnsi="Verdana"/>
          <w:color w:val="212121"/>
          <w:sz w:val="18"/>
          <w:szCs w:val="18"/>
          <w:highlight w:val="white"/>
          <w:rtl w:val="0"/>
        </w:rPr>
        <w:t xml:space="preserve">. For information on registering a security interest in British Columbia, see practice note: </w:t>
      </w:r>
      <w:hyperlink r:id="rId12">
        <w:r w:rsidDel="00000000" w:rsidR="00000000" w:rsidRPr="00000000">
          <w:rPr>
            <w:rFonts w:ascii="Verdana" w:cs="Verdana" w:eastAsia="Verdana" w:hAnsi="Verdana"/>
            <w:color w:val="006ebb"/>
            <w:sz w:val="18"/>
            <w:szCs w:val="18"/>
            <w:highlight w:val="white"/>
            <w:u w:val="single"/>
            <w:rtl w:val="0"/>
          </w:rPr>
          <w:t xml:space="preserve">Security Interest Registration under the Personal Property Security Act (ON)</w:t>
        </w:r>
      </w:hyperlink>
      <w:r w:rsidDel="00000000" w:rsidR="00000000" w:rsidRPr="00000000">
        <w:rPr>
          <w:rFonts w:ascii="Verdana" w:cs="Verdana" w:eastAsia="Verdana" w:hAnsi="Verdana"/>
          <w:color w:val="212121"/>
          <w:sz w:val="18"/>
          <w:szCs w:val="18"/>
          <w:highlight w:val="white"/>
          <w:rtl w:val="0"/>
        </w:rPr>
        <w:t xml:space="preserve">. For a precedent demand letter, see the: </w:t>
      </w:r>
      <w:hyperlink r:id="rId13">
        <w:r w:rsidDel="00000000" w:rsidR="00000000" w:rsidRPr="00000000">
          <w:rPr>
            <w:rFonts w:ascii="Verdana" w:cs="Verdana" w:eastAsia="Verdana" w:hAnsi="Verdana"/>
            <w:color w:val="006ebb"/>
            <w:sz w:val="18"/>
            <w:szCs w:val="18"/>
            <w:highlight w:val="white"/>
            <w:u w:val="single"/>
            <w:rtl w:val="0"/>
          </w:rPr>
          <w:t xml:space="preserve">Demand Letter (ON)</w:t>
        </w:r>
      </w:hyperlink>
      <w:r w:rsidDel="00000000" w:rsidR="00000000" w:rsidRPr="00000000">
        <w:rPr>
          <w:rFonts w:ascii="Verdana" w:cs="Verdana" w:eastAsia="Verdana" w:hAnsi="Verdana"/>
          <w:color w:val="212121"/>
          <w:sz w:val="18"/>
          <w:szCs w:val="18"/>
          <w:highlight w:val="white"/>
          <w:rtl w:val="0"/>
        </w:rPr>
        <w:t xml:space="preserve">. For information on an organization’s contract management process, see the </w:t>
      </w:r>
      <w:hyperlink r:id="rId14">
        <w:r w:rsidDel="00000000" w:rsidR="00000000" w:rsidRPr="00000000">
          <w:rPr>
            <w:rFonts w:ascii="Verdana" w:cs="Verdana" w:eastAsia="Verdana" w:hAnsi="Verdana"/>
            <w:color w:val="006ebb"/>
            <w:sz w:val="18"/>
            <w:szCs w:val="18"/>
            <w:highlight w:val="white"/>
            <w:u w:val="single"/>
            <w:rtl w:val="0"/>
          </w:rPr>
          <w:t xml:space="preserve">Contract Management Resource Kit</w:t>
        </w:r>
      </w:hyperlink>
      <w:r w:rsidDel="00000000" w:rsidR="00000000" w:rsidRPr="00000000">
        <w:rPr>
          <w:rFonts w:ascii="Verdana" w:cs="Verdana" w:eastAsia="Verdana" w:hAnsi="Verdana"/>
          <w:color w:val="212121"/>
          <w:sz w:val="18"/>
          <w:szCs w:val="18"/>
          <w:highlight w:val="white"/>
          <w:rtl w:val="0"/>
        </w:rPr>
        <w:t xml:space="preserve">. For information on transactions for the sale and purchase of goods for counsel representing buyers and sellers, see the </w:t>
      </w:r>
      <w:hyperlink r:id="rId15">
        <w:r w:rsidDel="00000000" w:rsidR="00000000" w:rsidRPr="00000000">
          <w:rPr>
            <w:rFonts w:ascii="Verdana" w:cs="Verdana" w:eastAsia="Verdana" w:hAnsi="Verdana"/>
            <w:color w:val="006ebb"/>
            <w:sz w:val="18"/>
            <w:szCs w:val="18"/>
            <w:highlight w:val="white"/>
            <w:u w:val="single"/>
            <w:rtl w:val="0"/>
          </w:rPr>
          <w:t xml:space="preserve">Supply of Goods Resource Kit</w:t>
        </w:r>
      </w:hyperlink>
      <w:r w:rsidDel="00000000" w:rsidR="00000000" w:rsidRPr="00000000">
        <w:rPr>
          <w:rFonts w:ascii="Verdana" w:cs="Verdana" w:eastAsia="Verdana" w:hAnsi="Verdana"/>
          <w:color w:val="212121"/>
          <w:sz w:val="18"/>
          <w:szCs w:val="18"/>
          <w:highlight w:val="white"/>
          <w:rtl w:val="0"/>
        </w:rPr>
        <w:t xml:space="preserve">.</w:t>
      </w:r>
    </w:p>
    <w:p w:rsidR="00000000" w:rsidDel="00000000" w:rsidP="00000000" w:rsidRDefault="00000000" w:rsidRPr="00000000" w14:paraId="0000000C">
      <w:pPr>
        <w:spacing w:line="408" w:lineRule="auto"/>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Introduction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In Ontario, the procedure to obtain a purchase-money security interest ("PMSI") varies depending on whether the collateral is </w:t>
      </w:r>
      <w:r w:rsidDel="00000000" w:rsidR="00000000" w:rsidRPr="00000000">
        <w:rPr>
          <w:rFonts w:ascii="Verdana" w:cs="Verdana" w:eastAsia="Verdana" w:hAnsi="Verdana"/>
          <w:i w:val="1"/>
          <w:iCs w:val="1"/>
          <w:color w:val="212121"/>
          <w:sz w:val="18"/>
          <w:szCs w:val="18"/>
          <w:highlight w:val="white"/>
          <w:rtl w:val="0"/>
        </w:rPr>
        <w:t xml:space="preserve">inventory</w:t>
      </w:r>
      <w:r w:rsidDel="00000000" w:rsidR="00000000" w:rsidRPr="00000000">
        <w:rPr>
          <w:rFonts w:ascii="Verdana" w:cs="Verdana" w:eastAsia="Verdana" w:hAnsi="Verdana"/>
          <w:color w:val="212121"/>
          <w:sz w:val="18"/>
          <w:szCs w:val="18"/>
          <w:highlight w:val="white"/>
          <w:rtl w:val="0"/>
        </w:rPr>
        <w:t xml:space="preserve"> (for a definition of "inventory", see s. </w:t>
      </w:r>
      <w:hyperlink r:id="rId16">
        <w:r w:rsidDel="00000000" w:rsidR="00000000" w:rsidRPr="00000000">
          <w:rPr>
            <w:rFonts w:ascii="Verdana" w:cs="Verdana" w:eastAsia="Verdana" w:hAnsi="Verdana"/>
            <w:color w:val="006ebb"/>
            <w:sz w:val="18"/>
            <w:szCs w:val="18"/>
            <w:highlight w:val="white"/>
            <w:u w:val="single"/>
            <w:rtl w:val="0"/>
          </w:rPr>
          <w:t xml:space="preserve">1</w:t>
        </w:r>
      </w:hyperlink>
      <w:r w:rsidDel="00000000" w:rsidR="00000000" w:rsidRPr="00000000">
        <w:rPr>
          <w:rFonts w:ascii="Verdana" w:cs="Verdana" w:eastAsia="Verdana" w:hAnsi="Verdana"/>
          <w:color w:val="212121"/>
          <w:sz w:val="18"/>
          <w:szCs w:val="18"/>
          <w:highlight w:val="white"/>
          <w:rtl w:val="0"/>
        </w:rPr>
        <w:t xml:space="preserve">(1) in the PPSA) and whether it is a </w:t>
      </w:r>
      <w:r w:rsidDel="00000000" w:rsidR="00000000" w:rsidRPr="00000000">
        <w:rPr>
          <w:rFonts w:ascii="Verdana" w:cs="Verdana" w:eastAsia="Verdana" w:hAnsi="Verdana"/>
          <w:i w:val="1"/>
          <w:iCs w:val="1"/>
          <w:color w:val="212121"/>
          <w:sz w:val="18"/>
          <w:szCs w:val="18"/>
          <w:highlight w:val="white"/>
          <w:rtl w:val="0"/>
        </w:rPr>
        <w:t xml:space="preserve">consumer good </w:t>
      </w:r>
      <w:r w:rsidDel="00000000" w:rsidR="00000000" w:rsidRPr="00000000">
        <w:rPr>
          <w:rFonts w:ascii="Verdana" w:cs="Verdana" w:eastAsia="Verdana" w:hAnsi="Verdana"/>
          <w:color w:val="212121"/>
          <w:sz w:val="18"/>
          <w:szCs w:val="18"/>
          <w:highlight w:val="white"/>
          <w:rtl w:val="0"/>
        </w:rPr>
        <w:t xml:space="preserve">(for a definition of "consumer goods", see s. </w:t>
      </w:r>
      <w:hyperlink r:id="rId17">
        <w:r w:rsidDel="00000000" w:rsidR="00000000" w:rsidRPr="00000000">
          <w:rPr>
            <w:rFonts w:ascii="Verdana" w:cs="Verdana" w:eastAsia="Verdana" w:hAnsi="Verdana"/>
            <w:color w:val="006ebb"/>
            <w:sz w:val="18"/>
            <w:szCs w:val="18"/>
            <w:highlight w:val="white"/>
            <w:u w:val="single"/>
            <w:rtl w:val="0"/>
          </w:rPr>
          <w:t xml:space="preserve">1</w:t>
        </w:r>
      </w:hyperlink>
      <w:r w:rsidDel="00000000" w:rsidR="00000000" w:rsidRPr="00000000">
        <w:rPr>
          <w:rFonts w:ascii="Verdana" w:cs="Verdana" w:eastAsia="Verdana" w:hAnsi="Verdana"/>
          <w:color w:val="212121"/>
          <w:sz w:val="18"/>
          <w:szCs w:val="18"/>
          <w:highlight w:val="white"/>
          <w:rtl w:val="0"/>
        </w:rPr>
        <w:t xml:space="preserve">(1) in the PPSA and defined below). For clarity, this practice note describes the inventory and non-inventory categories of goods separately. Although much of the process is the same, it is important to categorize the goods properly and follow the appropriate steps.</w:t>
      </w:r>
    </w:p>
    <w:p w:rsidR="00000000" w:rsidDel="00000000" w:rsidP="00000000" w:rsidRDefault="00000000" w:rsidRPr="00000000" w14:paraId="0000000E">
      <w:pPr>
        <w:spacing w:line="408" w:lineRule="auto"/>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 Inventory</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Under the PPSA, inventory means, "goods that are held by a person for sale or lease or that have been leased or that are to be furnished or have been furnished under a contract of service, or that are raw materials, work in process or materials used or consumed in a business or profession".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Where the collateral is inventory, s. </w:t>
      </w:r>
      <w:hyperlink r:id="rId18">
        <w:r w:rsidDel="00000000" w:rsidR="00000000" w:rsidRPr="00000000">
          <w:rPr>
            <w:rFonts w:ascii="Verdana" w:cs="Verdana" w:eastAsia="Verdana" w:hAnsi="Verdana"/>
            <w:color w:val="006ebb"/>
            <w:sz w:val="18"/>
            <w:szCs w:val="18"/>
            <w:highlight w:val="white"/>
            <w:u w:val="single"/>
            <w:rtl w:val="0"/>
          </w:rPr>
          <w:t xml:space="preserve">33</w:t>
        </w:r>
      </w:hyperlink>
      <w:r w:rsidDel="00000000" w:rsidR="00000000" w:rsidRPr="00000000">
        <w:rPr>
          <w:rFonts w:ascii="Verdana" w:cs="Verdana" w:eastAsia="Verdana" w:hAnsi="Verdana"/>
          <w:color w:val="212121"/>
          <w:sz w:val="18"/>
          <w:szCs w:val="18"/>
          <w:highlight w:val="white"/>
          <w:rtl w:val="0"/>
        </w:rPr>
        <w:t xml:space="preserve">(1)(a) of the PPSA provides the PMSI must be perfected before the debtor takes possession of the collateral. Perfection is a legal term that simply means the security holder has completed the necessary steps to secure the greatest bundle of rights possible, usually including a registration of the security with the government (PPSA, s. </w:t>
      </w:r>
      <w:hyperlink r:id="rId19">
        <w:r w:rsidDel="00000000" w:rsidR="00000000" w:rsidRPr="00000000">
          <w:rPr>
            <w:rFonts w:ascii="Verdana" w:cs="Verdana" w:eastAsia="Verdana" w:hAnsi="Verdana"/>
            <w:color w:val="006ebb"/>
            <w:sz w:val="18"/>
            <w:szCs w:val="18"/>
            <w:highlight w:val="white"/>
            <w:u w:val="single"/>
            <w:rtl w:val="0"/>
          </w:rPr>
          <w:t xml:space="preserve">19</w:t>
        </w:r>
      </w:hyperlink>
      <w:r w:rsidDel="00000000" w:rsidR="00000000" w:rsidRPr="00000000">
        <w:rPr>
          <w:rFonts w:ascii="Verdana" w:cs="Verdana" w:eastAsia="Verdana" w:hAnsi="Verdana"/>
          <w:color w:val="212121"/>
          <w:sz w:val="18"/>
          <w:szCs w:val="18"/>
          <w:highlight w:val="white"/>
          <w:rtl w:val="0"/>
        </w:rPr>
        <w:t xml:space="preserve">). This means that when the collateral is inventory, certain steps must be completed before the debtor can take possession of the collateral.</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1. Signing of the Security Agreement</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The first step in the procedure is for the debtor to sign a security agreement. When the debtor must sign the security agreement depends on whether the collateral is consumer goods or not consumer goods. In the Act, consumer goods means, "goods that are used or acquired for use primarily for personal, family or household purposes" (PPSA, s. </w:t>
      </w:r>
      <w:hyperlink r:id="rId20">
        <w:r w:rsidDel="00000000" w:rsidR="00000000" w:rsidRPr="00000000">
          <w:rPr>
            <w:rFonts w:ascii="Verdana" w:cs="Verdana" w:eastAsia="Verdana" w:hAnsi="Verdana"/>
            <w:color w:val="006ebb"/>
            <w:sz w:val="18"/>
            <w:szCs w:val="18"/>
            <w:highlight w:val="white"/>
            <w:u w:val="single"/>
            <w:rtl w:val="0"/>
          </w:rPr>
          <w:t xml:space="preserve">1</w:t>
        </w:r>
      </w:hyperlink>
      <w:r w:rsidDel="00000000" w:rsidR="00000000" w:rsidRPr="00000000">
        <w:rPr>
          <w:rFonts w:ascii="Verdana" w:cs="Verdana" w:eastAsia="Verdana" w:hAnsi="Verdana"/>
          <w:color w:val="212121"/>
          <w:sz w:val="18"/>
          <w:szCs w:val="18"/>
          <w:highlight w:val="white"/>
          <w:rtl w:val="0"/>
        </w:rPr>
        <w:t xml:space="preserve">(1)).</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Pursuant to s. </w:t>
      </w:r>
      <w:hyperlink r:id="rId21">
        <w:r w:rsidDel="00000000" w:rsidR="00000000" w:rsidRPr="00000000">
          <w:rPr>
            <w:rFonts w:ascii="Verdana" w:cs="Verdana" w:eastAsia="Verdana" w:hAnsi="Verdana"/>
            <w:color w:val="006ebb"/>
            <w:sz w:val="18"/>
            <w:szCs w:val="18"/>
            <w:highlight w:val="white"/>
            <w:u w:val="single"/>
            <w:rtl w:val="0"/>
          </w:rPr>
          <w:t xml:space="preserve">45</w:t>
        </w:r>
      </w:hyperlink>
      <w:r w:rsidDel="00000000" w:rsidR="00000000" w:rsidRPr="00000000">
        <w:rPr>
          <w:rFonts w:ascii="Verdana" w:cs="Verdana" w:eastAsia="Verdana" w:hAnsi="Verdana"/>
          <w:color w:val="212121"/>
          <w:sz w:val="18"/>
          <w:szCs w:val="18"/>
          <w:highlight w:val="white"/>
          <w:rtl w:val="0"/>
        </w:rPr>
        <w:t xml:space="preserve">(2) of the PPSA, where the inventory is consumer goods, the debtor must sign the security agreement before the vendor/lender can register the security. Where the inventory is something other than consumer goods, the debtor can sign the security agreement before or after the vendor/lender registers the security (PPSA, s. </w:t>
      </w:r>
      <w:hyperlink r:id="rId22">
        <w:r w:rsidDel="00000000" w:rsidR="00000000" w:rsidRPr="00000000">
          <w:rPr>
            <w:rFonts w:ascii="Verdana" w:cs="Verdana" w:eastAsia="Verdana" w:hAnsi="Verdana"/>
            <w:color w:val="006ebb"/>
            <w:sz w:val="18"/>
            <w:szCs w:val="18"/>
            <w:highlight w:val="white"/>
            <w:u w:val="single"/>
            <w:rtl w:val="0"/>
          </w:rPr>
          <w:t xml:space="preserve">45</w:t>
        </w:r>
      </w:hyperlink>
      <w:r w:rsidDel="00000000" w:rsidR="00000000" w:rsidRPr="00000000">
        <w:rPr>
          <w:rFonts w:ascii="Verdana" w:cs="Verdana" w:eastAsia="Verdana" w:hAnsi="Verdana"/>
          <w:color w:val="212121"/>
          <w:sz w:val="18"/>
          <w:szCs w:val="18"/>
          <w:highlight w:val="white"/>
          <w:rtl w:val="0"/>
        </w:rPr>
        <w:t xml:space="preserve">(3)).</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Even if the collateral is not consumer goods, it is advisable to have the debtor sign the security agreement before registration of the PMSI or as soon as possible following registration to ensure that this step is indeed completed.</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2. Notification of Security Holders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The second step is for the vendor/lender to notify, before the debtor receives possession of the inventory, other parties having a registered security interest in all or part of the same collateral of its registration, or intention to register, the PMSI in the inventory (PPSA, s. </w:t>
      </w:r>
      <w:hyperlink r:id="rId23">
        <w:r w:rsidDel="00000000" w:rsidR="00000000" w:rsidRPr="00000000">
          <w:rPr>
            <w:rFonts w:ascii="Verdana" w:cs="Verdana" w:eastAsia="Verdana" w:hAnsi="Verdana"/>
            <w:color w:val="006ebb"/>
            <w:sz w:val="18"/>
            <w:szCs w:val="18"/>
            <w:highlight w:val="white"/>
            <w:u w:val="single"/>
            <w:rtl w:val="0"/>
          </w:rPr>
          <w:t xml:space="preserve">33</w:t>
        </w:r>
      </w:hyperlink>
      <w:r w:rsidDel="00000000" w:rsidR="00000000" w:rsidRPr="00000000">
        <w:rPr>
          <w:rFonts w:ascii="Verdana" w:cs="Verdana" w:eastAsia="Verdana" w:hAnsi="Verdana"/>
          <w:color w:val="212121"/>
          <w:sz w:val="18"/>
          <w:szCs w:val="18"/>
          <w:highlight w:val="white"/>
          <w:rtl w:val="0"/>
        </w:rPr>
        <w:t xml:space="preserve">(1)(b)). The notice must be in writing and it must describe the inventory to which the PMSI will apply by the type of collateral or specific items of collateral. The description in the notification should be detailed enough to make identification of the collateral possible. For more information see precedent: </w:t>
      </w:r>
      <w:hyperlink r:id="rId24">
        <w:r w:rsidDel="00000000" w:rsidR="00000000" w:rsidRPr="00000000">
          <w:rPr>
            <w:rFonts w:ascii="Verdana" w:cs="Verdana" w:eastAsia="Verdana" w:hAnsi="Verdana"/>
            <w:color w:val="006ebb"/>
            <w:sz w:val="18"/>
            <w:szCs w:val="18"/>
            <w:highlight w:val="white"/>
            <w:u w:val="single"/>
            <w:rtl w:val="0"/>
          </w:rPr>
          <w:t xml:space="preserve">Purchase-Money Security Interest Notice</w:t>
        </w:r>
      </w:hyperlink>
      <w:r w:rsidDel="00000000" w:rsidR="00000000" w:rsidRPr="00000000">
        <w:rPr>
          <w:rFonts w:ascii="Verdana" w:cs="Verdana" w:eastAsia="Verdana" w:hAnsi="Verdana"/>
          <w:color w:val="212121"/>
          <w:sz w:val="18"/>
          <w:szCs w:val="18"/>
          <w:highlight w:val="white"/>
          <w:rtl w:val="0"/>
        </w:rPr>
        <w:t xml:space="preserv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A vendor/lender should obtain a complete list of applicable security holders and determine if the security holders' respective registration includes the relevant items or types of collateral. A vendor/lender can conduct an online search for a fee on the Ontario Ministry of Government and Consumer Services' </w:t>
      </w:r>
      <w:hyperlink r:id="rId25">
        <w:r w:rsidDel="00000000" w:rsidR="00000000" w:rsidRPr="00000000">
          <w:rPr>
            <w:rFonts w:ascii="Verdana" w:cs="Verdana" w:eastAsia="Verdana" w:hAnsi="Verdana"/>
            <w:color w:val="006ebb"/>
            <w:sz w:val="18"/>
            <w:szCs w:val="18"/>
            <w:highlight w:val="white"/>
            <w:u w:val="single"/>
            <w:rtl w:val="0"/>
          </w:rPr>
          <w:t xml:space="preserve">Service Ontario</w:t>
        </w:r>
      </w:hyperlink>
      <w:r w:rsidDel="00000000" w:rsidR="00000000" w:rsidRPr="00000000">
        <w:rPr>
          <w:rFonts w:ascii="Verdana" w:cs="Verdana" w:eastAsia="Verdana" w:hAnsi="Verdana"/>
          <w:color w:val="212121"/>
          <w:sz w:val="18"/>
          <w:szCs w:val="18"/>
          <w:highlight w:val="white"/>
          <w:rtl w:val="0"/>
        </w:rPr>
        <w:t xml:space="preserve"> web site. The vendor/lender should search the appropriate legal name of the debtor's business (English and French forms of legal name, if applicable) as well as the debtor's trade name(s), if any, to ensure completeness of the search.</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If there is any doubt as to the scope or nature of the collateral under a particular registration, the vendor/lender should give notice to the third party. In the case of corporations, it is common practice to address the PMSI notice to the attention of someone who has responsibility in the particular area.</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In accordance with s. </w:t>
      </w:r>
      <w:hyperlink r:id="rId26">
        <w:r w:rsidDel="00000000" w:rsidR="00000000" w:rsidRPr="00000000">
          <w:rPr>
            <w:rFonts w:ascii="Verdana" w:cs="Verdana" w:eastAsia="Verdana" w:hAnsi="Verdana"/>
            <w:color w:val="006ebb"/>
            <w:sz w:val="18"/>
            <w:szCs w:val="18"/>
            <w:highlight w:val="white"/>
            <w:u w:val="single"/>
            <w:rtl w:val="0"/>
          </w:rPr>
          <w:t xml:space="preserve">68</w:t>
        </w:r>
      </w:hyperlink>
      <w:r w:rsidDel="00000000" w:rsidR="00000000" w:rsidRPr="00000000">
        <w:rPr>
          <w:rFonts w:ascii="Verdana" w:cs="Verdana" w:eastAsia="Verdana" w:hAnsi="Verdana"/>
          <w:color w:val="212121"/>
          <w:sz w:val="18"/>
          <w:szCs w:val="18"/>
          <w:highlight w:val="white"/>
          <w:rtl w:val="0"/>
        </w:rPr>
        <w:t xml:space="preserve">(1)(a) of the PPSA, the vendor/lender must give notice to the other parties by serving it in person, by delivering it by prepaid courier or registered mail to the most recent address of the secured party, by fax or by electronic transmission.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The PPSA describes in detail when notice has occurred (PPSA, ss. </w:t>
      </w:r>
      <w:hyperlink r:id="rId27">
        <w:r w:rsidDel="00000000" w:rsidR="00000000" w:rsidRPr="00000000">
          <w:rPr>
            <w:rFonts w:ascii="Verdana" w:cs="Verdana" w:eastAsia="Verdana" w:hAnsi="Verdana"/>
            <w:color w:val="006ebb"/>
            <w:sz w:val="18"/>
            <w:szCs w:val="18"/>
            <w:highlight w:val="white"/>
            <w:u w:val="single"/>
            <w:rtl w:val="0"/>
          </w:rPr>
          <w:t xml:space="preserve">68</w:t>
        </w:r>
      </w:hyperlink>
      <w:r w:rsidDel="00000000" w:rsidR="00000000" w:rsidRPr="00000000">
        <w:rPr>
          <w:rFonts w:ascii="Verdana" w:cs="Verdana" w:eastAsia="Verdana" w:hAnsi="Verdana"/>
          <w:color w:val="212121"/>
          <w:sz w:val="18"/>
          <w:szCs w:val="18"/>
          <w:highlight w:val="white"/>
          <w:rtl w:val="0"/>
        </w:rPr>
        <w:t xml:space="preserve">(4) and (5)). For fax and electronic transfers, this means when the addressee actually receives the notice or upon the first business day after the day of transmission, whichever is earlier. A PMSI notice can also be sent by registered mail and is deemed to have been received when the addressee actually receives the notice or upon the expiry of 10 days after the day of registration, whichever is earlier.</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3. Perfection through Registration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The third step is for the vendor/lender to register the PMSI. To register a PMSI, the vendor/lender must file a financing statement. A financing statement must include certain information and must be in a certain format. For more information see practice note: </w:t>
      </w:r>
      <w:hyperlink r:id="rId28">
        <w:r w:rsidDel="00000000" w:rsidR="00000000" w:rsidRPr="00000000">
          <w:rPr>
            <w:rFonts w:ascii="Verdana" w:cs="Verdana" w:eastAsia="Verdana" w:hAnsi="Verdana"/>
            <w:color w:val="006ebb"/>
            <w:sz w:val="18"/>
            <w:szCs w:val="18"/>
            <w:highlight w:val="white"/>
            <w:u w:val="single"/>
            <w:rtl w:val="0"/>
          </w:rPr>
          <w:t xml:space="preserve">Security Interest Registration under the Personal Property Security Act (ON)</w:t>
        </w:r>
      </w:hyperlink>
      <w:r w:rsidDel="00000000" w:rsidR="00000000" w:rsidRPr="00000000">
        <w:rPr>
          <w:rFonts w:ascii="Verdana" w:cs="Verdana" w:eastAsia="Verdana" w:hAnsi="Verdana"/>
          <w:color w:val="212121"/>
          <w:sz w:val="18"/>
          <w:szCs w:val="18"/>
          <w:highlight w:val="white"/>
          <w:rtl w:val="0"/>
        </w:rPr>
        <w:t xml:space="preserve">. An authorized person must file this financing statement through the electronic filing system (PPSA, ss. </w:t>
      </w:r>
      <w:hyperlink r:id="rId29">
        <w:r w:rsidDel="00000000" w:rsidR="00000000" w:rsidRPr="00000000">
          <w:rPr>
            <w:rFonts w:ascii="Verdana" w:cs="Verdana" w:eastAsia="Verdana" w:hAnsi="Verdana"/>
            <w:color w:val="006ebb"/>
            <w:sz w:val="18"/>
            <w:szCs w:val="18"/>
            <w:highlight w:val="white"/>
            <w:u w:val="single"/>
            <w:rtl w:val="0"/>
          </w:rPr>
          <w:t xml:space="preserve">46</w:t>
        </w:r>
      </w:hyperlink>
      <w:r w:rsidDel="00000000" w:rsidR="00000000" w:rsidRPr="00000000">
        <w:rPr>
          <w:rFonts w:ascii="Verdana" w:cs="Verdana" w:eastAsia="Verdana" w:hAnsi="Verdana"/>
          <w:color w:val="212121"/>
          <w:sz w:val="18"/>
          <w:szCs w:val="18"/>
          <w:highlight w:val="white"/>
          <w:rtl w:val="0"/>
        </w:rPr>
        <w:t xml:space="preserve">(2) and (3)).</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It is important to use the correct names of the parties. Where one of the parties is an individual, the name must include the first given name, the initial of the second given name (if any) and the surname. For individuals, the date of birth is also required and should be accurate since it is the best way to identify a person. Where one of the parties is a business, the appropriate legal name of the business must be used (including any French form of the legal name of the business).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Under the PPSA, a security interest in certain types of collateral can be perfected through possession. However, with a PMSI, this type of perfection is unlikely because the very purpose is to give special priority to the vendor/lender upon transfer of possession of the collateral to the debtor.</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4. Transfer of Possession</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Once the financing statement is filed, a verification statement will be issued. Once this verification statement is issued, the vendor/lender can transfer possession of the inventory to the debtor. It is important that the vendor/lender does not transfer the inventory until the verification statement is received. Otherwise, the PMSI will not be effective.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A transfer of possession includes a transfer of the collateral to a third party at the request of the debtor (PPSA, s. </w:t>
      </w:r>
      <w:hyperlink r:id="rId30">
        <w:r w:rsidDel="00000000" w:rsidR="00000000" w:rsidRPr="00000000">
          <w:rPr>
            <w:rFonts w:ascii="Verdana" w:cs="Verdana" w:eastAsia="Verdana" w:hAnsi="Verdana"/>
            <w:color w:val="006ebb"/>
            <w:sz w:val="18"/>
            <w:szCs w:val="18"/>
            <w:highlight w:val="white"/>
            <w:u w:val="single"/>
            <w:rtl w:val="0"/>
          </w:rPr>
          <w:t xml:space="preserve">33</w:t>
        </w:r>
      </w:hyperlink>
      <w:r w:rsidDel="00000000" w:rsidR="00000000" w:rsidRPr="00000000">
        <w:rPr>
          <w:rFonts w:ascii="Verdana" w:cs="Verdana" w:eastAsia="Verdana" w:hAnsi="Verdana"/>
          <w:color w:val="212121"/>
          <w:sz w:val="18"/>
          <w:szCs w:val="18"/>
          <w:highlight w:val="white"/>
          <w:rtl w:val="0"/>
        </w:rPr>
        <w:t xml:space="preserve">(1)(a)(ii)). For example, if the debtor hires a third party to collect the collateral from the vendor's factory, the PMSI timing rules will come into effect immediately. Therefore, the vendor should have the verification statement before releasing the goods from the factory door.</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5. Delivery of a Copy of the Verification Statement</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The vendor/lender must then deliver a copy of the verification statement to the debtor within 30 days (PPSA, s. </w:t>
      </w:r>
      <w:hyperlink r:id="rId31">
        <w:r w:rsidDel="00000000" w:rsidR="00000000" w:rsidRPr="00000000">
          <w:rPr>
            <w:rFonts w:ascii="Verdana" w:cs="Verdana" w:eastAsia="Verdana" w:hAnsi="Verdana"/>
            <w:color w:val="006ebb"/>
            <w:sz w:val="18"/>
            <w:szCs w:val="18"/>
            <w:highlight w:val="white"/>
            <w:u w:val="single"/>
            <w:rtl w:val="0"/>
          </w:rPr>
          <w:t xml:space="preserve">46</w:t>
        </w:r>
      </w:hyperlink>
      <w:r w:rsidDel="00000000" w:rsidR="00000000" w:rsidRPr="00000000">
        <w:rPr>
          <w:rFonts w:ascii="Verdana" w:cs="Verdana" w:eastAsia="Verdana" w:hAnsi="Verdana"/>
          <w:color w:val="212121"/>
          <w:sz w:val="18"/>
          <w:szCs w:val="18"/>
          <w:highlight w:val="white"/>
          <w:rtl w:val="0"/>
        </w:rPr>
        <w:t xml:space="preserve">(6)). The vendor/lender must deliver the copy of the verification statement by serving it in person, by delivering it by prepaid courier or registered mail to the most recent address of the debtor, by fax, or by electronic transmission (PPSA, s. </w:t>
      </w:r>
      <w:hyperlink r:id="rId32">
        <w:r w:rsidDel="00000000" w:rsidR="00000000" w:rsidRPr="00000000">
          <w:rPr>
            <w:rFonts w:ascii="Verdana" w:cs="Verdana" w:eastAsia="Verdana" w:hAnsi="Verdana"/>
            <w:color w:val="006ebb"/>
            <w:sz w:val="18"/>
            <w:szCs w:val="18"/>
            <w:highlight w:val="white"/>
            <w:u w:val="single"/>
            <w:rtl w:val="0"/>
          </w:rPr>
          <w:t xml:space="preserve">68</w:t>
        </w:r>
      </w:hyperlink>
      <w:r w:rsidDel="00000000" w:rsidR="00000000" w:rsidRPr="00000000">
        <w:rPr>
          <w:rFonts w:ascii="Verdana" w:cs="Verdana" w:eastAsia="Verdana" w:hAnsi="Verdana"/>
          <w:color w:val="212121"/>
          <w:sz w:val="18"/>
          <w:szCs w:val="18"/>
          <w:highlight w:val="white"/>
          <w:rtl w:val="0"/>
        </w:rPr>
        <w:t xml:space="preserve">(1)(b)).</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The PPSA describes in detail when delivery has occurred (PPSA, ss. </w:t>
      </w:r>
      <w:hyperlink r:id="rId33">
        <w:r w:rsidDel="00000000" w:rsidR="00000000" w:rsidRPr="00000000">
          <w:rPr>
            <w:rFonts w:ascii="Verdana" w:cs="Verdana" w:eastAsia="Verdana" w:hAnsi="Verdana"/>
            <w:color w:val="006ebb"/>
            <w:sz w:val="18"/>
            <w:szCs w:val="18"/>
            <w:highlight w:val="white"/>
            <w:u w:val="single"/>
            <w:rtl w:val="0"/>
          </w:rPr>
          <w:t xml:space="preserve">68</w:t>
        </w:r>
      </w:hyperlink>
      <w:r w:rsidDel="00000000" w:rsidR="00000000" w:rsidRPr="00000000">
        <w:rPr>
          <w:rFonts w:ascii="Verdana" w:cs="Verdana" w:eastAsia="Verdana" w:hAnsi="Verdana"/>
          <w:color w:val="212121"/>
          <w:sz w:val="18"/>
          <w:szCs w:val="18"/>
          <w:highlight w:val="white"/>
          <w:rtl w:val="0"/>
        </w:rPr>
        <w:t xml:space="preserve">(4) and (5)). For fax and electronic transfers, this means when the debtor receives the verification statement or upon the first business day after the day of transmission, whichever is earlier. The secured party may, but is not required to, permit a person entitled to receive a true copy of the security agreement under clause (1) (d) or the person's authorized representative to inspect the security agreement or a true copy of it remotely at any time by means of any technology (PPSA, s. </w:t>
      </w:r>
      <w:hyperlink r:id="rId34">
        <w:r w:rsidDel="00000000" w:rsidR="00000000" w:rsidRPr="00000000">
          <w:rPr>
            <w:rFonts w:ascii="Verdana" w:cs="Verdana" w:eastAsia="Verdana" w:hAnsi="Verdana"/>
            <w:color w:val="006ebb"/>
            <w:sz w:val="18"/>
            <w:szCs w:val="18"/>
            <w:highlight w:val="white"/>
            <w:u w:val="single"/>
            <w:rtl w:val="0"/>
          </w:rPr>
          <w:t xml:space="preserve">18</w:t>
        </w:r>
      </w:hyperlink>
      <w:r w:rsidDel="00000000" w:rsidR="00000000" w:rsidRPr="00000000">
        <w:rPr>
          <w:rFonts w:ascii="Verdana" w:cs="Verdana" w:eastAsia="Verdana" w:hAnsi="Verdana"/>
          <w:color w:val="212121"/>
          <w:sz w:val="18"/>
          <w:szCs w:val="18"/>
          <w:highlight w:val="white"/>
          <w:rtl w:val="0"/>
        </w:rPr>
        <w:t xml:space="preserve">(3.1)), as amended by Sched. 28 of the </w:t>
      </w:r>
      <w:r w:rsidDel="00000000" w:rsidR="00000000" w:rsidRPr="00000000">
        <w:rPr>
          <w:rFonts w:ascii="Verdana" w:cs="Verdana" w:eastAsia="Verdana" w:hAnsi="Verdana"/>
          <w:i w:val="1"/>
          <w:iCs w:val="1"/>
          <w:color w:val="212121"/>
          <w:sz w:val="18"/>
          <w:szCs w:val="18"/>
          <w:highlight w:val="white"/>
          <w:rtl w:val="0"/>
        </w:rPr>
        <w:t xml:space="preserve">Less Red Tape, Stronger Economy Act, 2023</w:t>
      </w:r>
      <w:r w:rsidDel="00000000" w:rsidR="00000000" w:rsidRPr="00000000">
        <w:rPr>
          <w:rFonts w:ascii="Verdana" w:cs="Verdana" w:eastAsia="Verdana" w:hAnsi="Verdana"/>
          <w:color w:val="212121"/>
          <w:sz w:val="18"/>
          <w:szCs w:val="18"/>
          <w:highlight w:val="white"/>
          <w:rtl w:val="0"/>
        </w:rPr>
        <w:t xml:space="preserve">, SO 2023, c 9 on June 10, 2023.</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6. Follow-Up</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The PMSI exists until it is discharged or until the end of the registration period as described in the financing statement (PPSA, s. </w:t>
      </w:r>
      <w:hyperlink r:id="rId35">
        <w:r w:rsidDel="00000000" w:rsidR="00000000" w:rsidRPr="00000000">
          <w:rPr>
            <w:rFonts w:ascii="Verdana" w:cs="Verdana" w:eastAsia="Verdana" w:hAnsi="Verdana"/>
            <w:color w:val="006ebb"/>
            <w:sz w:val="18"/>
            <w:szCs w:val="18"/>
            <w:highlight w:val="white"/>
            <w:u w:val="single"/>
            <w:rtl w:val="0"/>
          </w:rPr>
          <w:t xml:space="preserve">51</w:t>
        </w:r>
      </w:hyperlink>
      <w:r w:rsidDel="00000000" w:rsidR="00000000" w:rsidRPr="00000000">
        <w:rPr>
          <w:rFonts w:ascii="Verdana" w:cs="Verdana" w:eastAsia="Verdana" w:hAnsi="Verdana"/>
          <w:color w:val="212121"/>
          <w:sz w:val="18"/>
          <w:szCs w:val="18"/>
          <w:highlight w:val="white"/>
          <w:rtl w:val="0"/>
        </w:rPr>
        <w:t xml:space="preserve">(3)). Where the financing statement includes a registration period, the vendor/lender can renew the PMSI. This vendor/lender must complete this renewal before the period expires. Renewal is achieved by filing a financing change statement. Filing is through the same manner as described for the initial filing.</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If the registration period ends before the filing of a financing change statement, the PMSI must be re-perfected as described in Perfection through Registration above.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In the event of bankruptcy of the debtor or a challenge by a third party creditor, the vendor/lender should maintain and retain all documents used in this procedure including:</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pacing w:after="0" w:afterAutospacing="0" w:before="280" w:lineRule="auto"/>
        <w:ind w:left="720" w:hanging="360"/>
      </w:pPr>
      <w:r w:rsidDel="00000000" w:rsidR="00000000" w:rsidRPr="00000000">
        <w:rPr>
          <w:rFonts w:ascii="Verdana" w:cs="Verdana" w:eastAsia="Verdana" w:hAnsi="Verdana"/>
          <w:color w:val="212121"/>
          <w:sz w:val="18"/>
          <w:szCs w:val="18"/>
          <w:highlight w:val="white"/>
          <w:rtl w:val="0"/>
        </w:rPr>
        <w:t xml:space="preserve">1</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an original copy of the security agreement dated and signed by the debtor;</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2</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copies of the PMSI notices sent to other relevant security holders;</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3</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signed cards or slips from the post office proving the registered mailing of the notices to the other relevant security holders, including the date (or other similar evidence of delivery and receipt);</w:t>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4</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acknowledgment that the relevant security holders received the notification, including the date of receipt, where possible;</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5</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copies of the registered financing statements, including any further amendments, renewals or discharges;</w:t>
      </w:r>
    </w:p>
    <w:p w:rsidR="00000000" w:rsidDel="00000000" w:rsidP="00000000" w:rsidRDefault="00000000" w:rsidRPr="00000000" w14:paraId="0000003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6</w:t>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a copy of the verification statement for each registration;</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7</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proof of delivery or transmission of a copy of the verification statement for each registration, including the date of delivery or transmission;</w:t>
      </w:r>
    </w:p>
    <w:p w:rsidR="00000000" w:rsidDel="00000000" w:rsidP="00000000" w:rsidRDefault="00000000" w:rsidRPr="00000000" w14:paraId="0000003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8</w:t>
      </w:r>
    </w:p>
    <w:p w:rsidR="00000000" w:rsidDel="00000000" w:rsidP="00000000" w:rsidRDefault="00000000" w:rsidRPr="00000000" w14:paraId="0000003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acknowledgment that the debtor received a copy of the verification statement, including the date of receipt, where possible;</w:t>
      </w:r>
    </w:p>
    <w:p w:rsidR="00000000" w:rsidDel="00000000" w:rsidP="00000000" w:rsidRDefault="00000000" w:rsidRPr="00000000" w14:paraId="0000003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9</w:t>
      </w:r>
    </w:p>
    <w:p w:rsidR="00000000" w:rsidDel="00000000" w:rsidP="00000000" w:rsidRDefault="00000000" w:rsidRPr="00000000" w14:paraId="0000003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a delivery receipt, signed shipping order or other document indicating when the debtor or its agent received the goods; and</w:t>
      </w:r>
    </w:p>
    <w:p w:rsidR="00000000" w:rsidDel="00000000" w:rsidP="00000000" w:rsidRDefault="00000000" w:rsidRPr="00000000" w14:paraId="0000003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10</w:t>
      </w:r>
    </w:p>
    <w:p w:rsidR="00000000" w:rsidDel="00000000" w:rsidP="00000000" w:rsidRDefault="00000000" w:rsidRPr="00000000" w14:paraId="0000003C">
      <w:pPr>
        <w:numPr>
          <w:ilvl w:val="0"/>
          <w:numId w:val="2"/>
        </w:numPr>
        <w:pBdr>
          <w:top w:color="auto" w:space="0" w:sz="0" w:val="none"/>
          <w:bottom w:color="auto" w:space="0" w:sz="0" w:val="none"/>
          <w:right w:color="auto" w:space="0" w:sz="0" w:val="none"/>
          <w:between w:color="auto" w:space="0" w:sz="0" w:val="none"/>
        </w:pBdr>
        <w:spacing w:after="28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a reminder of the expiry of the registration period, if any.</w:t>
      </w:r>
    </w:p>
    <w:p w:rsidR="00000000" w:rsidDel="00000000" w:rsidP="00000000" w:rsidRDefault="00000000" w:rsidRPr="00000000" w14:paraId="0000003D">
      <w:pPr>
        <w:spacing w:line="408" w:lineRule="auto"/>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B. Collateral other than Inventory</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As with inventory, certain steps must be completed for a PMSI in collateral other than inventory to be effective. The steps, however, are slightly different. Of particular importance is the flexibility of timing for the vendor/lender to transfer the collateral to the debtor.</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1. Signing of the Security Agreement</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The first step in the procedure is for the debtor to sign a security agreement. Where the inventory is consumer goods, the debtor must sign the security agreement before the vendor/lender can register the security (PPSA, s. </w:t>
      </w:r>
      <w:hyperlink r:id="rId36">
        <w:r w:rsidDel="00000000" w:rsidR="00000000" w:rsidRPr="00000000">
          <w:rPr>
            <w:rFonts w:ascii="Verdana" w:cs="Verdana" w:eastAsia="Verdana" w:hAnsi="Verdana"/>
            <w:color w:val="006ebb"/>
            <w:sz w:val="18"/>
            <w:szCs w:val="18"/>
            <w:highlight w:val="white"/>
            <w:u w:val="single"/>
            <w:rtl w:val="0"/>
          </w:rPr>
          <w:t xml:space="preserve">45</w:t>
        </w:r>
      </w:hyperlink>
      <w:r w:rsidDel="00000000" w:rsidR="00000000" w:rsidRPr="00000000">
        <w:rPr>
          <w:rFonts w:ascii="Verdana" w:cs="Verdana" w:eastAsia="Verdana" w:hAnsi="Verdana"/>
          <w:color w:val="212121"/>
          <w:sz w:val="18"/>
          <w:szCs w:val="18"/>
          <w:highlight w:val="white"/>
          <w:rtl w:val="0"/>
        </w:rPr>
        <w:t xml:space="preserve">(2)). Where the inventory is something other than consumer goods, the debtor can sign the security agreement before or after the vendor/lender registers the security (PPSA, s. </w:t>
      </w:r>
      <w:hyperlink r:id="rId37">
        <w:r w:rsidDel="00000000" w:rsidR="00000000" w:rsidRPr="00000000">
          <w:rPr>
            <w:rFonts w:ascii="Verdana" w:cs="Verdana" w:eastAsia="Verdana" w:hAnsi="Verdana"/>
            <w:color w:val="006ebb"/>
            <w:sz w:val="18"/>
            <w:szCs w:val="18"/>
            <w:highlight w:val="white"/>
            <w:u w:val="single"/>
            <w:rtl w:val="0"/>
          </w:rPr>
          <w:t xml:space="preserve">45</w:t>
        </w:r>
      </w:hyperlink>
      <w:r w:rsidDel="00000000" w:rsidR="00000000" w:rsidRPr="00000000">
        <w:rPr>
          <w:rFonts w:ascii="Verdana" w:cs="Verdana" w:eastAsia="Verdana" w:hAnsi="Verdana"/>
          <w:color w:val="212121"/>
          <w:sz w:val="18"/>
          <w:szCs w:val="18"/>
          <w:highlight w:val="white"/>
          <w:rtl w:val="0"/>
        </w:rPr>
        <w:t xml:space="preserve">(3)). Unlike with inventory, the vendor/lender of non-inventory collateral does not need to notify other security holders of the PMSI.</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Recall that in the PPSA, consumer goods means, "goods that are used or acquired for use primarily for personal, family or household purposes".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2. Transfer of Possession</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Where the collateral is not inventory, pursuant to s. </w:t>
      </w:r>
      <w:hyperlink r:id="rId38">
        <w:r w:rsidDel="00000000" w:rsidR="00000000" w:rsidRPr="00000000">
          <w:rPr>
            <w:rFonts w:ascii="Verdana" w:cs="Verdana" w:eastAsia="Verdana" w:hAnsi="Verdana"/>
            <w:color w:val="006ebb"/>
            <w:sz w:val="18"/>
            <w:szCs w:val="18"/>
            <w:highlight w:val="white"/>
            <w:u w:val="single"/>
            <w:rtl w:val="0"/>
          </w:rPr>
          <w:t xml:space="preserve">33</w:t>
        </w:r>
      </w:hyperlink>
      <w:r w:rsidDel="00000000" w:rsidR="00000000" w:rsidRPr="00000000">
        <w:rPr>
          <w:rFonts w:ascii="Verdana" w:cs="Verdana" w:eastAsia="Verdana" w:hAnsi="Verdana"/>
          <w:color w:val="212121"/>
          <w:sz w:val="18"/>
          <w:szCs w:val="18"/>
          <w:highlight w:val="white"/>
          <w:rtl w:val="0"/>
        </w:rPr>
        <w:t xml:space="preserve">(2)(a) of the PPSA, the PMSI can be perfected before or within 15 days of the debtor (or a third party at the request of the debtor) taking possession of the collateral. Thus, unlike with inventory, the vendor/lender can transfer possession of the collateral before registering the PMSI. However, it is important that the vendor/lender register the PMSI before or within 15 days. Counting these days can be more problematic than one might think as arguments can be made when the period includes statutory holidays, strikes, and when the buyer is not yet a debtor as defined by the PPSA. For a definition of "debtor", see s. </w:t>
      </w:r>
      <w:hyperlink r:id="rId39">
        <w:r w:rsidDel="00000000" w:rsidR="00000000" w:rsidRPr="00000000">
          <w:rPr>
            <w:rFonts w:ascii="Verdana" w:cs="Verdana" w:eastAsia="Verdana" w:hAnsi="Verdana"/>
            <w:color w:val="006ebb"/>
            <w:sz w:val="18"/>
            <w:szCs w:val="18"/>
            <w:highlight w:val="white"/>
            <w:u w:val="single"/>
            <w:rtl w:val="0"/>
          </w:rPr>
          <w:t xml:space="preserve">1</w:t>
        </w:r>
      </w:hyperlink>
      <w:r w:rsidDel="00000000" w:rsidR="00000000" w:rsidRPr="00000000">
        <w:rPr>
          <w:rFonts w:ascii="Verdana" w:cs="Verdana" w:eastAsia="Verdana" w:hAnsi="Verdana"/>
          <w:color w:val="212121"/>
          <w:sz w:val="18"/>
          <w:szCs w:val="18"/>
          <w:highlight w:val="white"/>
          <w:rtl w:val="0"/>
        </w:rPr>
        <w:t xml:space="preserve">(1) of the PPSA. Therefore, best practice would be to register the PMSI before the goods are released from the secured party's possession.</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3. Perfection through Registration</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The third step is for the vendor/lender to register the PMSI. To register a PMSI, the vendor/lender must file a financing statement. A financing statement must include certain information and must be in a certain format. For more information see practice note: </w:t>
      </w:r>
      <w:hyperlink r:id="rId40">
        <w:r w:rsidDel="00000000" w:rsidR="00000000" w:rsidRPr="00000000">
          <w:rPr>
            <w:rFonts w:ascii="Verdana" w:cs="Verdana" w:eastAsia="Verdana" w:hAnsi="Verdana"/>
            <w:color w:val="006ebb"/>
            <w:sz w:val="18"/>
            <w:szCs w:val="18"/>
            <w:highlight w:val="white"/>
            <w:u w:val="single"/>
            <w:rtl w:val="0"/>
          </w:rPr>
          <w:t xml:space="preserve">Security Interest Registration under the Personal Property Security Act (ON)</w:t>
        </w:r>
      </w:hyperlink>
      <w:r w:rsidDel="00000000" w:rsidR="00000000" w:rsidRPr="00000000">
        <w:rPr>
          <w:rFonts w:ascii="Verdana" w:cs="Verdana" w:eastAsia="Verdana" w:hAnsi="Verdana"/>
          <w:color w:val="212121"/>
          <w:sz w:val="18"/>
          <w:szCs w:val="18"/>
          <w:highlight w:val="white"/>
          <w:rtl w:val="0"/>
        </w:rPr>
        <w:t xml:space="preserve"> An authorized person must file this financing statement through the electronic filing system. Once the financing statement is filed, a verification statement will be issued.</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It is important to use the correct names of the parties. Where one of the parties is an individual, the name must include the first given name, the initial of the second given name (if any) and the surname. For individuals, the date of birth is also required and should be accurate since it is the best way to identify a person. Where one of the parties is a business, the appropriate legal name of the business must be used (including any French form of the legal name of the business).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4. Delivery of a Copy of the Verification Statement</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Pursuant to s. </w:t>
      </w:r>
      <w:hyperlink r:id="rId41">
        <w:r w:rsidDel="00000000" w:rsidR="00000000" w:rsidRPr="00000000">
          <w:rPr>
            <w:rFonts w:ascii="Verdana" w:cs="Verdana" w:eastAsia="Verdana" w:hAnsi="Verdana"/>
            <w:color w:val="006ebb"/>
            <w:sz w:val="18"/>
            <w:szCs w:val="18"/>
            <w:highlight w:val="white"/>
            <w:u w:val="single"/>
            <w:rtl w:val="0"/>
          </w:rPr>
          <w:t xml:space="preserve">46</w:t>
        </w:r>
      </w:hyperlink>
      <w:r w:rsidDel="00000000" w:rsidR="00000000" w:rsidRPr="00000000">
        <w:rPr>
          <w:rFonts w:ascii="Verdana" w:cs="Verdana" w:eastAsia="Verdana" w:hAnsi="Verdana"/>
          <w:color w:val="212121"/>
          <w:sz w:val="18"/>
          <w:szCs w:val="18"/>
          <w:highlight w:val="white"/>
          <w:rtl w:val="0"/>
        </w:rPr>
        <w:t xml:space="preserve">(6) of the PPSA, the vendor/lender must then deliver a copy of the verification statement to the debtor within 30 days. The vendor/lender must deliver the copy of the verification statement by serving it in person, by delivering it by prepaid courier or registered mail to the most recent address of the debtor, by fax, or by electronic transmission (PPSA, s. </w:t>
      </w:r>
      <w:hyperlink r:id="rId42">
        <w:r w:rsidDel="00000000" w:rsidR="00000000" w:rsidRPr="00000000">
          <w:rPr>
            <w:rFonts w:ascii="Verdana" w:cs="Verdana" w:eastAsia="Verdana" w:hAnsi="Verdana"/>
            <w:color w:val="006ebb"/>
            <w:sz w:val="18"/>
            <w:szCs w:val="18"/>
            <w:highlight w:val="white"/>
            <w:u w:val="single"/>
            <w:rtl w:val="0"/>
          </w:rPr>
          <w:t xml:space="preserve">68</w:t>
        </w:r>
      </w:hyperlink>
      <w:r w:rsidDel="00000000" w:rsidR="00000000" w:rsidRPr="00000000">
        <w:rPr>
          <w:rFonts w:ascii="Verdana" w:cs="Verdana" w:eastAsia="Verdana" w:hAnsi="Verdana"/>
          <w:color w:val="212121"/>
          <w:sz w:val="18"/>
          <w:szCs w:val="18"/>
          <w:highlight w:val="white"/>
          <w:rtl w:val="0"/>
        </w:rPr>
        <w:t xml:space="preserve"> (1)(b)).</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The PPSA describes in detail when delivery has occurred. For fax and electronic transfers, this means when the debtor receives the verification statement or upon the first business day after the day of transmission, whichever is earlier. The secured party may, but is not required to, permit a person entitled to receive a true copy of the security agreement under clause (1) (d) or the person's authorized representative to inspect the security agreement or a true copy of it remotely at any time by means of any technology (PPSA, s. </w:t>
      </w:r>
      <w:hyperlink r:id="rId43">
        <w:r w:rsidDel="00000000" w:rsidR="00000000" w:rsidRPr="00000000">
          <w:rPr>
            <w:rFonts w:ascii="Verdana" w:cs="Verdana" w:eastAsia="Verdana" w:hAnsi="Verdana"/>
            <w:color w:val="006ebb"/>
            <w:sz w:val="18"/>
            <w:szCs w:val="18"/>
            <w:highlight w:val="white"/>
            <w:u w:val="single"/>
            <w:rtl w:val="0"/>
          </w:rPr>
          <w:t xml:space="preserve">18</w:t>
        </w:r>
      </w:hyperlink>
      <w:r w:rsidDel="00000000" w:rsidR="00000000" w:rsidRPr="00000000">
        <w:rPr>
          <w:rFonts w:ascii="Verdana" w:cs="Verdana" w:eastAsia="Verdana" w:hAnsi="Verdana"/>
          <w:color w:val="212121"/>
          <w:sz w:val="18"/>
          <w:szCs w:val="18"/>
          <w:highlight w:val="white"/>
          <w:rtl w:val="0"/>
        </w:rPr>
        <w:t xml:space="preserve">(3.1)), as amended by Sched. 28 of the </w:t>
      </w:r>
      <w:r w:rsidDel="00000000" w:rsidR="00000000" w:rsidRPr="00000000">
        <w:rPr>
          <w:rFonts w:ascii="Verdana" w:cs="Verdana" w:eastAsia="Verdana" w:hAnsi="Verdana"/>
          <w:i w:val="1"/>
          <w:iCs w:val="1"/>
          <w:color w:val="212121"/>
          <w:sz w:val="18"/>
          <w:szCs w:val="18"/>
          <w:highlight w:val="white"/>
          <w:rtl w:val="0"/>
        </w:rPr>
        <w:t xml:space="preserve">Less Red Tape, Stronger Economy Act, 2023</w:t>
      </w:r>
      <w:r w:rsidDel="00000000" w:rsidR="00000000" w:rsidRPr="00000000">
        <w:rPr>
          <w:rFonts w:ascii="Verdana" w:cs="Verdana" w:eastAsia="Verdana" w:hAnsi="Verdana"/>
          <w:color w:val="212121"/>
          <w:sz w:val="18"/>
          <w:szCs w:val="18"/>
          <w:highlight w:val="white"/>
          <w:rtl w:val="0"/>
        </w:rPr>
        <w:t xml:space="preserve">, SO 2023, c 9 on June 10, 2023.</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5. Follow-Up</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The PMSI exists until it is discharged or until the end of the registration period as described in the financing statement. Where the financing statement includes a registration period, the vendor/lender can renew the PMSI. This vendor/lender must complete this renewal before the period expires. Renewal is achieved by filing a financing change statement. Filing is through the same manner as described for the initial filing.</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If the registration period ends before the filing of a financing change statement, the PMSI must be re-perfected as described above.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In the event of bankruptcy of the debtor, the vendor/lender should maintain and retain all documents used in this procedure including:</w:t>
      </w:r>
    </w:p>
    <w:p w:rsidR="00000000" w:rsidDel="00000000" w:rsidP="00000000" w:rsidRDefault="00000000" w:rsidRPr="00000000" w14:paraId="0000004E">
      <w:pPr>
        <w:numPr>
          <w:ilvl w:val="0"/>
          <w:numId w:val="1"/>
        </w:numPr>
        <w:pBdr>
          <w:top w:color="auto" w:space="0" w:sz="0" w:val="none"/>
          <w:bottom w:color="auto" w:space="0" w:sz="0" w:val="none"/>
          <w:right w:color="auto" w:space="0" w:sz="0" w:val="none"/>
          <w:between w:color="auto" w:space="0" w:sz="0" w:val="none"/>
        </w:pBdr>
        <w:spacing w:after="0" w:afterAutospacing="0" w:before="280" w:lineRule="auto"/>
        <w:ind w:left="720" w:hanging="360"/>
      </w:pPr>
      <w:r w:rsidDel="00000000" w:rsidR="00000000" w:rsidRPr="00000000">
        <w:rPr>
          <w:rFonts w:ascii="Verdana" w:cs="Verdana" w:eastAsia="Verdana" w:hAnsi="Verdana"/>
          <w:color w:val="212121"/>
          <w:sz w:val="18"/>
          <w:szCs w:val="18"/>
          <w:highlight w:val="white"/>
          <w:rtl w:val="0"/>
        </w:rPr>
        <w:t xml:space="preserve">1</w:t>
      </w:r>
    </w:p>
    <w:p w:rsidR="00000000" w:rsidDel="00000000" w:rsidP="00000000" w:rsidRDefault="00000000" w:rsidRPr="00000000" w14:paraId="0000004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an original copy of the security agreement dated and signed by the debtor;</w:t>
      </w:r>
    </w:p>
    <w:p w:rsidR="00000000" w:rsidDel="00000000" w:rsidP="00000000" w:rsidRDefault="00000000" w:rsidRPr="00000000" w14:paraId="0000005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2</w:t>
      </w:r>
    </w:p>
    <w:p w:rsidR="00000000" w:rsidDel="00000000" w:rsidP="00000000" w:rsidRDefault="00000000" w:rsidRPr="00000000" w14:paraId="0000005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copies of the registered financing statements, including any further amendments, renewals or discharges;</w:t>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3</w:t>
      </w:r>
    </w:p>
    <w:p w:rsidR="00000000" w:rsidDel="00000000" w:rsidP="00000000" w:rsidRDefault="00000000" w:rsidRPr="00000000" w14:paraId="0000005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a copy of the verification statement for each registration;</w:t>
      </w:r>
    </w:p>
    <w:p w:rsidR="00000000" w:rsidDel="00000000" w:rsidP="00000000" w:rsidRDefault="00000000" w:rsidRPr="00000000" w14:paraId="0000005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4</w:t>
      </w:r>
    </w:p>
    <w:p w:rsidR="00000000" w:rsidDel="00000000" w:rsidP="00000000" w:rsidRDefault="00000000" w:rsidRPr="00000000" w14:paraId="0000005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proof of delivery or transmission of a copy of the verification statement for each registration, including the date of delivery or transmission;</w:t>
      </w:r>
    </w:p>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5</w:t>
      </w:r>
    </w:p>
    <w:p w:rsidR="00000000" w:rsidDel="00000000" w:rsidP="00000000" w:rsidRDefault="00000000" w:rsidRPr="00000000" w14:paraId="0000005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acknowledgment that the debtor received a copy of the verification statement, including the date of receipt, where possible;</w:t>
      </w:r>
    </w:p>
    <w:p w:rsidR="00000000" w:rsidDel="00000000" w:rsidP="00000000" w:rsidRDefault="00000000" w:rsidRPr="00000000" w14:paraId="0000005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6</w:t>
      </w:r>
    </w:p>
    <w:p w:rsidR="00000000" w:rsidDel="00000000" w:rsidP="00000000" w:rsidRDefault="00000000" w:rsidRPr="00000000" w14:paraId="0000005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a delivery receipt, signed shipping order or other document indicating when the debtor or its agent received the goods; and</w:t>
      </w:r>
    </w:p>
    <w:p w:rsidR="00000000" w:rsidDel="00000000" w:rsidP="00000000" w:rsidRDefault="00000000" w:rsidRPr="00000000" w14:paraId="0000005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7</w:t>
      </w:r>
    </w:p>
    <w:p w:rsidR="00000000" w:rsidDel="00000000" w:rsidP="00000000" w:rsidRDefault="00000000" w:rsidRPr="00000000" w14:paraId="0000005B">
      <w:pPr>
        <w:numPr>
          <w:ilvl w:val="0"/>
          <w:numId w:val="1"/>
        </w:numPr>
        <w:pBdr>
          <w:top w:color="auto" w:space="0" w:sz="0" w:val="none"/>
          <w:bottom w:color="auto" w:space="0" w:sz="0" w:val="none"/>
          <w:right w:color="auto" w:space="0" w:sz="0" w:val="none"/>
          <w:between w:color="auto" w:space="0" w:sz="0" w:val="none"/>
        </w:pBdr>
        <w:spacing w:after="280" w:before="0" w:beforeAutospacing="0" w:lineRule="auto"/>
        <w:ind w:left="720" w:hanging="360"/>
      </w:pPr>
      <w:r w:rsidDel="00000000" w:rsidR="00000000" w:rsidRPr="00000000">
        <w:rPr>
          <w:rFonts w:ascii="Verdana" w:cs="Verdana" w:eastAsia="Verdana" w:hAnsi="Verdana"/>
          <w:color w:val="212121"/>
          <w:sz w:val="18"/>
          <w:szCs w:val="18"/>
          <w:highlight w:val="white"/>
          <w:rtl w:val="0"/>
        </w:rPr>
        <w:t xml:space="preserve">a reminder of the expiry of the registration period, if any.</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r>
    </w:p>
    <w:sectPr>
      <w:headerReference r:id="rId44" w:type="default"/>
      <w:headerReference r:id="rId45" w:type="first"/>
      <w:footerReference r:id="rId46"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438150</wp:posOffset>
          </wp:positionV>
          <wp:extent cx="3328988" cy="18439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328988" cy="18439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spacing w:before="200" w:line="312" w:lineRule="auto"/>
      <w:ind w:left="5760"/>
      <w:rPr/>
    </w:pPr>
    <w:r w:rsidDel="00000000" w:rsidR="00000000" w:rsidRPr="00000000">
      <w:rPr>
        <w:rFonts w:ascii="Proxima Nova" w:cs="Proxima Nova" w:eastAsia="Proxima Nova" w:hAnsi="Proxima Nova"/>
        <w:color w:val="353744"/>
      </w:rPr>
      <w:drawing>
        <wp:inline distB="114300" distT="114300" distL="114300" distR="114300">
          <wp:extent cx="1804988" cy="1804988"/>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804988" cy="18049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212121"/>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keepNext w:val="1"/>
      <w:keepLines w:val="1"/>
      <w:spacing w:before="320" w:line="240" w:lineRule="auto"/>
    </w:pPr>
    <w:rPr>
      <w:rFonts w:ascii="Proxima Nova" w:cs="Proxima Nova" w:eastAsia="Proxima Nova" w:hAnsi="Proxima Nova"/>
      <w:b w:val="1"/>
      <w:bCs w:val="1"/>
      <w:color w:val="1d4771"/>
      <w:sz w:val="28"/>
      <w:szCs w:val="28"/>
    </w:rPr>
  </w:style>
  <w:style w:type="paragraph" w:styleId="Heading3">
    <w:name w:val="heading 3"/>
    <w:basedOn w:val="Normal"/>
    <w:next w:val="Normal"/>
    <w:pPr>
      <w:keepNext w:val="1"/>
      <w:keepLines w:val="1"/>
      <w:spacing w:after="80" w:before="320" w:lineRule="auto"/>
    </w:pPr>
    <w:rPr>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both"/>
    </w:pPr>
    <w:rPr>
      <w:rFonts w:ascii="Montserrat SemiBold" w:cs="Montserrat SemiBold" w:eastAsia="Montserrat SemiBold" w:hAnsi="Montserrat SemiBold"/>
      <w:color w:val="1e4063"/>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20"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42"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41"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22"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44" Type="http://schemas.openxmlformats.org/officeDocument/2006/relationships/header" Target="header1.xml"/><Relationship Id="rId21"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43"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24"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46" Type="http://schemas.openxmlformats.org/officeDocument/2006/relationships/footer" Target="footer1.xml"/><Relationship Id="rId23"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45"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26"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25" Type="http://schemas.openxmlformats.org/officeDocument/2006/relationships/hyperlink" Target="http://www.serviceontario.ca/" TargetMode="External"/><Relationship Id="rId28"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27"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5" Type="http://schemas.openxmlformats.org/officeDocument/2006/relationships/styles" Target="styles.xml"/><Relationship Id="rId6" Type="http://schemas.openxmlformats.org/officeDocument/2006/relationships/hyperlink" Target="mailto:office@levinelegal.ca" TargetMode="External"/><Relationship Id="rId29"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7"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8"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31"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30"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11"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33"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10"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32"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13"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35"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12"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34"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15"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37"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14"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36"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17"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39"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16"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38"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19"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 Id="rId18" Type="http://schemas.openxmlformats.org/officeDocument/2006/relationships/hyperlink" Target="https://advance.lexis.com/document/lpadocument/?pdmfid=1518425&amp;crid=2d6ccf99-c865-47b0-936f-a8fb6bde8a38&amp;pddocfullpath=%2Fshared%2Fdocument%2Fanalytical-materials-lpa-ca%2Furn%3AcontentItem%3A5W2B-BMP1-JX8W-M1PD-00000-00&amp;pdcontentcomponentid=402959&amp;pdteaserkey=sr20&amp;pdcatfilters=UHJhY3RpY2VBcmVhXnVybjp0b3BpYzo4NTZCODQzREFFNjA0MkI4QTdCMkMyQ0M5QTQ2MUU1MHxUYXNrXnVybjp0b3BpYzo5RUE1NzkwMjQ5NDA0NzdEODAzOTQ4NUVBMjBFQkFGRg%3D%3D&amp;config=02434AJAAyMzE0ZjIxNS0xN2M2LTQ2NzUtOTQ1OC1iZjA2ODUyMDA0NmMKAFBvZENhdGFsb2ea4qQNImcXVAPqhqbRlw8s&amp;pditab=allpods&amp;ecomp=v74gkkk&amp;earg=sr20&amp;prid=b0f3af3d-fe82-4f95-b88d-ddd98716e6e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