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office@levinelegal.ca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30qncsiwgs8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4iu2rbwauyhk" w:id="1"/>
      <w:bookmarkEnd w:id="1"/>
      <w:r w:rsidDel="00000000" w:rsidR="00000000" w:rsidRPr="00000000">
        <w:rPr>
          <w:rtl w:val="0"/>
        </w:rPr>
        <w:t xml:space="preserve">Contract Law - Securitization - </w:t>
      </w:r>
      <w:r w:rsidDel="00000000" w:rsidR="00000000" w:rsidRPr="00000000">
        <w:rPr>
          <w:rtl w:val="0"/>
        </w:rPr>
        <w:t xml:space="preserve">Personal Property Security Act Registration (ON)</w:t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romjcjrk7p5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3076575</wp:posOffset>
          </wp:positionH>
          <wp:positionV relativeFrom="paragraph">
            <wp:posOffset>438150</wp:posOffset>
          </wp:positionV>
          <wp:extent cx="3328988" cy="18439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8988" cy="1843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spacing w:before="200" w:line="312" w:lineRule="auto"/>
      <w:ind w:left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804988" cy="180498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1804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Montserrat SemiBold" w:cs="Montserrat SemiBold" w:eastAsia="Montserrat SemiBold" w:hAnsi="Montserrat SemiBold"/>
      <w:color w:val="1e40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office@levinelegal.ca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