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rPr/>
      </w:pPr>
      <w:bookmarkStart w:colFirst="0" w:colLast="0" w:name="_30qncsiwgs8c" w:id="0"/>
      <w:bookmarkEnd w:id="0"/>
      <w:r w:rsidDel="00000000" w:rsidR="00000000" w:rsidRPr="00000000">
        <w:rPr>
          <w:rtl w:val="0"/>
        </w:rPr>
      </w:r>
    </w:p>
    <w:p w:rsidR="00000000" w:rsidDel="00000000" w:rsidP="00000000" w:rsidRDefault="00000000" w:rsidRPr="00000000" w14:paraId="00000006">
      <w:pPr>
        <w:pStyle w:val="Title"/>
        <w:rPr/>
      </w:pPr>
      <w:bookmarkStart w:colFirst="0" w:colLast="0" w:name="_4iu2rbwauyhk" w:id="1"/>
      <w:bookmarkEnd w:id="1"/>
      <w:r w:rsidDel="00000000" w:rsidR="00000000" w:rsidRPr="00000000">
        <w:rPr>
          <w:rtl w:val="0"/>
        </w:rPr>
        <w:t xml:space="preserve">Contract Law - Solution 1.1b - premium </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Below is a revised and integrated asset protection and financial planning plan that not only outlines the Holdco‑Opco structure, multiple Opco arrangements, and secured PPSA interests but also addresses the role and potential liability of corporate directors and financial planning around share ownership. The plan now includes provisions for director indemnification, directors’ &amp; officers’ (D&amp;O) insurance, the potential use of nominee directors, and considerations for key‑man or life insurance on the main shareholder. Where applicable, documentation requirements and tailoring to the Ontario construction industry’s statutory risks are noted.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360" w:line="408" w:lineRule="auto"/>
        <w:rPr>
          <w:rFonts w:ascii="Verdana" w:cs="Verdana" w:eastAsia="Verdana" w:hAnsi="Verdana"/>
          <w:color w:val="212121"/>
          <w:sz w:val="34"/>
          <w:szCs w:val="34"/>
          <w:highlight w:val="white"/>
        </w:rPr>
      </w:pPr>
      <w:bookmarkStart w:colFirst="0" w:colLast="0" w:name="_chsvx4hcpzgo" w:id="2"/>
      <w:bookmarkEnd w:id="2"/>
      <w:r w:rsidDel="00000000" w:rsidR="00000000" w:rsidRPr="00000000">
        <w:rPr>
          <w:rFonts w:ascii="Verdana" w:cs="Verdana" w:eastAsia="Verdana" w:hAnsi="Verdana"/>
          <w:color w:val="212121"/>
          <w:sz w:val="34"/>
          <w:szCs w:val="34"/>
          <w:highlight w:val="white"/>
          <w:rtl w:val="0"/>
        </w:rPr>
        <w:t xml:space="preserve">Step 1: Establish a Holdco‑Opco Structure (Ownership, Asset Protection &amp; Director Liability Management)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4vo2nfp2rq4d" w:id="3"/>
      <w:bookmarkEnd w:id="3"/>
      <w:r w:rsidDel="00000000" w:rsidR="00000000" w:rsidRPr="00000000">
        <w:rPr>
          <w:rFonts w:ascii="Verdana" w:cs="Verdana" w:eastAsia="Verdana" w:hAnsi="Verdana"/>
          <w:b w:val="1"/>
          <w:bCs w:val="1"/>
          <w:color w:val="212121"/>
          <w:sz w:val="26"/>
          <w:szCs w:val="26"/>
          <w:highlight w:val="white"/>
          <w:rtl w:val="0"/>
        </w:rPr>
        <w:t xml:space="preserve">1.1. Incorporate a Holding Company (Holdco)</w:t>
      </w:r>
    </w:p>
    <w:p w:rsidR="00000000" w:rsidDel="00000000" w:rsidP="00000000" w:rsidRDefault="00000000" w:rsidRPr="00000000" w14:paraId="0000000E">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0F">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Create a new corporation (Holdco) under Ontario law to hold valuable assets separate from operational risks.</w:t>
      </w:r>
    </w:p>
    <w:p w:rsidR="00000000" w:rsidDel="00000000" w:rsidP="00000000" w:rsidRDefault="00000000" w:rsidRPr="00000000" w14:paraId="00000010">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11">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Articles of Incorporation &amp; Bylaws:</w:t>
      </w:r>
      <w:r w:rsidDel="00000000" w:rsidR="00000000" w:rsidRPr="00000000">
        <w:rPr>
          <w:rFonts w:ascii="Verdana" w:cs="Verdana" w:eastAsia="Verdana" w:hAnsi="Verdana"/>
          <w:color w:val="212121"/>
          <w:sz w:val="18"/>
          <w:szCs w:val="18"/>
          <w:highlight w:val="white"/>
          <w:rtl w:val="0"/>
        </w:rPr>
        <w:t xml:space="preserve"> Establish Holdco and outline its corporate purpose and governance.</w:t>
      </w:r>
    </w:p>
    <w:p w:rsidR="00000000" w:rsidDel="00000000" w:rsidP="00000000" w:rsidRDefault="00000000" w:rsidRPr="00000000" w14:paraId="00000012">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Initial Board Resolutions:</w:t>
      </w:r>
      <w:r w:rsidDel="00000000" w:rsidR="00000000" w:rsidRPr="00000000">
        <w:rPr>
          <w:rFonts w:ascii="Verdana" w:cs="Verdana" w:eastAsia="Verdana" w:hAnsi="Verdana"/>
          <w:color w:val="212121"/>
          <w:sz w:val="18"/>
          <w:szCs w:val="18"/>
          <w:highlight w:val="white"/>
          <w:rtl w:val="0"/>
        </w:rPr>
        <w:t xml:space="preserve"> Approve incorporation, appointment of directors/officers, and set forth policies.</w:t>
      </w:r>
    </w:p>
    <w:p w:rsidR="00000000" w:rsidDel="00000000" w:rsidP="00000000" w:rsidRDefault="00000000" w:rsidRPr="00000000" w14:paraId="0000001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Director &amp; Financial Considerations:</w:t>
      </w:r>
    </w:p>
    <w:p w:rsidR="00000000" w:rsidDel="00000000" w:rsidP="00000000" w:rsidRDefault="00000000" w:rsidRPr="00000000" w14:paraId="00000014">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Indemnification Agreement:</w:t>
      </w:r>
      <w:r w:rsidDel="00000000" w:rsidR="00000000" w:rsidRPr="00000000">
        <w:rPr>
          <w:rFonts w:ascii="Verdana" w:cs="Verdana" w:eastAsia="Verdana" w:hAnsi="Verdana"/>
          <w:color w:val="212121"/>
          <w:sz w:val="18"/>
          <w:szCs w:val="18"/>
          <w:highlight w:val="white"/>
          <w:rtl w:val="0"/>
        </w:rPr>
        <w:t xml:space="preserve"> Holdco should enter into an indemnification agreement with its directors tailored to address potential statutory liabilities in the construction industry.</w:t>
      </w:r>
    </w:p>
    <w:p w:rsidR="00000000" w:rsidDel="00000000" w:rsidP="00000000" w:rsidRDefault="00000000" w:rsidRPr="00000000" w14:paraId="00000015">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D&amp;O Insurance:</w:t>
      </w:r>
      <w:r w:rsidDel="00000000" w:rsidR="00000000" w:rsidRPr="00000000">
        <w:rPr>
          <w:rFonts w:ascii="Verdana" w:cs="Verdana" w:eastAsia="Verdana" w:hAnsi="Verdana"/>
          <w:color w:val="212121"/>
          <w:sz w:val="18"/>
          <w:szCs w:val="18"/>
          <w:highlight w:val="white"/>
          <w:rtl w:val="0"/>
        </w:rPr>
        <w:t xml:space="preserve"> Holdco must obtain directors’ and officers’ (D&amp;O) insurance that is structured to cover the specific risks (including statutory liabilities) faced by directors in the Ontario construction industry.</w:t>
      </w:r>
    </w:p>
    <w:p w:rsidR="00000000" w:rsidDel="00000000" w:rsidP="00000000" w:rsidRDefault="00000000" w:rsidRPr="00000000" w14:paraId="00000016">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Nominee Directors (Optional):</w:t>
      </w:r>
      <w:r w:rsidDel="00000000" w:rsidR="00000000" w:rsidRPr="00000000">
        <w:rPr>
          <w:rFonts w:ascii="Verdana" w:cs="Verdana" w:eastAsia="Verdana" w:hAnsi="Verdana"/>
          <w:color w:val="212121"/>
          <w:sz w:val="18"/>
          <w:szCs w:val="18"/>
          <w:highlight w:val="white"/>
          <w:rtl w:val="0"/>
        </w:rPr>
        <w:t xml:space="preserve"> Consider appointing nominee directors to provide additional layers of oversight and to mitigate conflicts, especially where there may be family or concentrated shareholder interests.</w:t>
      </w:r>
    </w:p>
    <w:p w:rsidR="00000000" w:rsidDel="00000000" w:rsidP="00000000" w:rsidRDefault="00000000" w:rsidRPr="00000000" w14:paraId="00000017">
      <w:pPr>
        <w:numPr>
          <w:ilvl w:val="1"/>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Key-Man/Life Insurance:</w:t>
      </w:r>
      <w:r w:rsidDel="00000000" w:rsidR="00000000" w:rsidRPr="00000000">
        <w:rPr>
          <w:rFonts w:ascii="Verdana" w:cs="Verdana" w:eastAsia="Verdana" w:hAnsi="Verdana"/>
          <w:color w:val="212121"/>
          <w:sz w:val="18"/>
          <w:szCs w:val="18"/>
          <w:highlight w:val="white"/>
          <w:rtl w:val="0"/>
        </w:rPr>
        <w:t xml:space="preserve"> Evaluate taking out life or key-man insurance on the main shareholder to protect against the financial loss and instability that might arise from their unexpected departure or death.</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joudnqhp2sr3" w:id="4"/>
      <w:bookmarkEnd w:id="4"/>
      <w:r w:rsidDel="00000000" w:rsidR="00000000" w:rsidRPr="00000000">
        <w:rPr>
          <w:rFonts w:ascii="Verdana" w:cs="Verdana" w:eastAsia="Verdana" w:hAnsi="Verdana"/>
          <w:b w:val="1"/>
          <w:bCs w:val="1"/>
          <w:color w:val="212121"/>
          <w:sz w:val="26"/>
          <w:szCs w:val="26"/>
          <w:highlight w:val="white"/>
          <w:rtl w:val="0"/>
        </w:rPr>
        <w:t xml:space="preserve">1.2. Transfer Shares of the Operating Company (Opco) to Holdco</w:t>
      </w:r>
    </w:p>
    <w:p w:rsidR="00000000" w:rsidDel="00000000" w:rsidP="00000000" w:rsidRDefault="00000000" w:rsidRPr="00000000" w14:paraId="0000001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1A">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Transfer the ownership of Opco to Holdco pursuant to a s.85 rollover (a tax‑deferred share transfer under the Income Tax Act).</w:t>
      </w:r>
    </w:p>
    <w:p w:rsidR="00000000" w:rsidDel="00000000" w:rsidP="00000000" w:rsidRDefault="00000000" w:rsidRPr="00000000" w14:paraId="0000001B">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Holdco becomes the sole or majority shareholder.</w:t>
      </w:r>
    </w:p>
    <w:p w:rsidR="00000000" w:rsidDel="00000000" w:rsidP="00000000" w:rsidRDefault="00000000" w:rsidRPr="00000000" w14:paraId="0000001C">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1D">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 Transfer Agreement:</w:t>
      </w:r>
      <w:r w:rsidDel="00000000" w:rsidR="00000000" w:rsidRPr="00000000">
        <w:rPr>
          <w:rFonts w:ascii="Verdana" w:cs="Verdana" w:eastAsia="Verdana" w:hAnsi="Verdana"/>
          <w:color w:val="212121"/>
          <w:sz w:val="18"/>
          <w:szCs w:val="18"/>
          <w:highlight w:val="white"/>
          <w:rtl w:val="0"/>
        </w:rPr>
        <w:t xml:space="preserve"> Details the s.85 rollover terms.</w:t>
      </w:r>
    </w:p>
    <w:p w:rsidR="00000000" w:rsidDel="00000000" w:rsidP="00000000" w:rsidRDefault="00000000" w:rsidRPr="00000000" w14:paraId="0000001E">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Board Resolutions (from both Opco and Holdco):</w:t>
      </w:r>
      <w:r w:rsidDel="00000000" w:rsidR="00000000" w:rsidRPr="00000000">
        <w:rPr>
          <w:rFonts w:ascii="Verdana" w:cs="Verdana" w:eastAsia="Verdana" w:hAnsi="Verdana"/>
          <w:color w:val="212121"/>
          <w:sz w:val="18"/>
          <w:szCs w:val="18"/>
          <w:highlight w:val="white"/>
          <w:rtl w:val="0"/>
        </w:rPr>
        <w:t xml:space="preserve"> Approve the share transfer and document the change in shareholding.</w:t>
      </w:r>
    </w:p>
    <w:p w:rsidR="00000000" w:rsidDel="00000000" w:rsidP="00000000" w:rsidRDefault="00000000" w:rsidRPr="00000000" w14:paraId="0000001F">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Updated Share Certificates and Share Register.</w:t>
      </w:r>
    </w:p>
    <w:p w:rsidR="00000000" w:rsidDel="00000000" w:rsidP="00000000" w:rsidRDefault="00000000" w:rsidRPr="00000000" w14:paraId="0000002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Financial Planning Considerations:</w:t>
      </w:r>
    </w:p>
    <w:p w:rsidR="00000000" w:rsidDel="00000000" w:rsidP="00000000" w:rsidRDefault="00000000" w:rsidRPr="00000000" w14:paraId="00000021">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Ensure that the share structure (and any share exchange agreements) aligns with long‑term planning for dividends and capital distributions.</w:t>
      </w:r>
    </w:p>
    <w:p w:rsidR="00000000" w:rsidDel="00000000" w:rsidP="00000000" w:rsidRDefault="00000000" w:rsidRPr="00000000" w14:paraId="00000022">
      <w:pPr>
        <w:numPr>
          <w:ilvl w:val="1"/>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Consider any shareholder agreements that govern decision‑making, including provisions addressing potential buy‑outs or changes in control.</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u5ux6mtualkb" w:id="5"/>
      <w:bookmarkEnd w:id="5"/>
      <w:r w:rsidDel="00000000" w:rsidR="00000000" w:rsidRPr="00000000">
        <w:rPr>
          <w:rFonts w:ascii="Verdana" w:cs="Verdana" w:eastAsia="Verdana" w:hAnsi="Verdana"/>
          <w:b w:val="1"/>
          <w:bCs w:val="1"/>
          <w:color w:val="212121"/>
          <w:sz w:val="26"/>
          <w:szCs w:val="26"/>
          <w:highlight w:val="white"/>
          <w:rtl w:val="0"/>
        </w:rPr>
        <w:t xml:space="preserve">1.3. Establish a Board Committee</w:t>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25">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Form a dedicated board committee (at both Holdco and each Opco) to oversee intercompany transactions, dividend policy, and asset protection measures.</w:t>
      </w:r>
    </w:p>
    <w:p w:rsidR="00000000" w:rsidDel="00000000" w:rsidP="00000000" w:rsidRDefault="00000000" w:rsidRPr="00000000" w14:paraId="0000002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27">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Board Committee Charter &amp; Resolutions:</w:t>
      </w:r>
      <w:r w:rsidDel="00000000" w:rsidR="00000000" w:rsidRPr="00000000">
        <w:rPr>
          <w:rFonts w:ascii="Verdana" w:cs="Verdana" w:eastAsia="Verdana" w:hAnsi="Verdana"/>
          <w:color w:val="212121"/>
          <w:sz w:val="18"/>
          <w:szCs w:val="18"/>
          <w:highlight w:val="white"/>
          <w:rtl w:val="0"/>
        </w:rPr>
        <w:t xml:space="preserve"> Define the committee’s scope, responsibilities, and oversight powers.</w:t>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Director Considerations:</w:t>
      </w:r>
    </w:p>
    <w:p w:rsidR="00000000" w:rsidDel="00000000" w:rsidP="00000000" w:rsidRDefault="00000000" w:rsidRPr="00000000" w14:paraId="00000029">
      <w:pPr>
        <w:numPr>
          <w:ilvl w:val="1"/>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This committee should include directors with construction industry experience and be mindful of the statutory liability risks; ensure that any nominee directors are fully integrated into the decision‑making process.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o56oephk2la" w:id="6"/>
      <w:bookmarkEnd w:id="6"/>
      <w:r w:rsidDel="00000000" w:rsidR="00000000" w:rsidRPr="00000000">
        <w:rPr>
          <w:rFonts w:ascii="Verdana" w:cs="Verdana" w:eastAsia="Verdana" w:hAnsi="Verdana"/>
          <w:b w:val="1"/>
          <w:bCs w:val="1"/>
          <w:color w:val="212121"/>
          <w:sz w:val="26"/>
          <w:szCs w:val="26"/>
          <w:highlight w:val="white"/>
          <w:rtl w:val="0"/>
        </w:rPr>
        <w:t xml:space="preserve">1.4. Move Valuable Assets from Opco to Holdco</w:t>
      </w:r>
    </w:p>
    <w:p w:rsidR="00000000" w:rsidDel="00000000" w:rsidP="00000000" w:rsidRDefault="00000000" w:rsidRPr="00000000" w14:paraId="0000002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2C">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Transfer high‑value assets (e.g., equipment, real estate, vehicles, intellectual property) from Opco to Holdco.</w:t>
      </w:r>
    </w:p>
    <w:p w:rsidR="00000000" w:rsidDel="00000000" w:rsidP="00000000" w:rsidRDefault="00000000" w:rsidRPr="00000000" w14:paraId="0000002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For operational continuity, structure transfers as sale‑and‑leaseback transactions when necessary.</w:t>
      </w:r>
    </w:p>
    <w:p w:rsidR="00000000" w:rsidDel="00000000" w:rsidP="00000000" w:rsidRDefault="00000000" w:rsidRPr="00000000" w14:paraId="0000002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2F">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Asset Purchase Agreements or Bills of Sale:</w:t>
      </w:r>
      <w:r w:rsidDel="00000000" w:rsidR="00000000" w:rsidRPr="00000000">
        <w:rPr>
          <w:rFonts w:ascii="Verdana" w:cs="Verdana" w:eastAsia="Verdana" w:hAnsi="Verdana"/>
          <w:color w:val="212121"/>
          <w:sz w:val="18"/>
          <w:szCs w:val="18"/>
          <w:highlight w:val="white"/>
          <w:rtl w:val="0"/>
        </w:rPr>
        <w:t xml:space="preserve"> Record the transfer of each asset.</w:t>
      </w:r>
    </w:p>
    <w:p w:rsidR="00000000" w:rsidDel="00000000" w:rsidP="00000000" w:rsidRDefault="00000000" w:rsidRPr="00000000" w14:paraId="00000030">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Sale‑and‑Leaseback Agreements:</w:t>
      </w:r>
      <w:r w:rsidDel="00000000" w:rsidR="00000000" w:rsidRPr="00000000">
        <w:rPr>
          <w:rFonts w:ascii="Verdana" w:cs="Verdana" w:eastAsia="Verdana" w:hAnsi="Verdana"/>
          <w:color w:val="212121"/>
          <w:sz w:val="18"/>
          <w:szCs w:val="18"/>
          <w:highlight w:val="white"/>
          <w:rtl w:val="0"/>
        </w:rPr>
        <w:t xml:space="preserve"> Establish lease terms ensuring Opco’s continued use of assets while keeping legal ownership with Holdco.</w:t>
      </w:r>
    </w:p>
    <w:p w:rsidR="00000000" w:rsidDel="00000000" w:rsidP="00000000" w:rsidRDefault="00000000" w:rsidRPr="00000000" w14:paraId="00000031">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Deeds/Title Transfers:</w:t>
      </w:r>
      <w:r w:rsidDel="00000000" w:rsidR="00000000" w:rsidRPr="00000000">
        <w:rPr>
          <w:rFonts w:ascii="Verdana" w:cs="Verdana" w:eastAsia="Verdana" w:hAnsi="Verdana"/>
          <w:color w:val="212121"/>
          <w:sz w:val="18"/>
          <w:szCs w:val="18"/>
          <w:highlight w:val="white"/>
          <w:rtl w:val="0"/>
        </w:rPr>
        <w:t xml:space="preserve"> (For real estate or titled assets).</w:t>
      </w:r>
    </w:p>
    <w:p w:rsidR="00000000" w:rsidDel="00000000" w:rsidP="00000000" w:rsidRDefault="00000000" w:rsidRPr="00000000" w14:paraId="0000003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Additional Consideration:</w:t>
      </w:r>
    </w:p>
    <w:p w:rsidR="00000000" w:rsidDel="00000000" w:rsidP="00000000" w:rsidRDefault="00000000" w:rsidRPr="00000000" w14:paraId="00000033">
      <w:pPr>
        <w:numPr>
          <w:ilvl w:val="1"/>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Ensure that asset transfers are conducted at fair market value to avoid potential claims of fraudulent conveyance, with appropriate independent valuations if needed.</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adt15x3vjgfj" w:id="7"/>
      <w:bookmarkEnd w:id="7"/>
      <w:r w:rsidDel="00000000" w:rsidR="00000000" w:rsidRPr="00000000">
        <w:rPr>
          <w:rFonts w:ascii="Verdana" w:cs="Verdana" w:eastAsia="Verdana" w:hAnsi="Verdana"/>
          <w:b w:val="1"/>
          <w:bCs w:val="1"/>
          <w:color w:val="212121"/>
          <w:sz w:val="26"/>
          <w:szCs w:val="26"/>
          <w:highlight w:val="white"/>
          <w:rtl w:val="0"/>
        </w:rPr>
        <w:t xml:space="preserve">1.5. Holdco Provides Financing to Opco &amp; Secures a PPSA Registration</w:t>
      </w:r>
    </w:p>
    <w:p w:rsidR="00000000" w:rsidDel="00000000" w:rsidP="00000000" w:rsidRDefault="00000000" w:rsidRPr="00000000" w14:paraId="00000035">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36">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Holdco periodically extends financing (via intercompany loans) to Opco.</w:t>
      </w:r>
    </w:p>
    <w:p w:rsidR="00000000" w:rsidDel="00000000" w:rsidP="00000000" w:rsidRDefault="00000000" w:rsidRPr="00000000" w14:paraId="00000037">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exchange, Holdco registers a security interest under the PPSA over Opco’s assets (e.g., accounts receivable, inventory, or cash flow) to secure the financing.</w:t>
      </w:r>
    </w:p>
    <w:p w:rsidR="00000000" w:rsidDel="00000000" w:rsidP="00000000" w:rsidRDefault="00000000" w:rsidRPr="00000000" w14:paraId="00000038">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39">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Intercompany Loan Agreement:</w:t>
      </w:r>
      <w:r w:rsidDel="00000000" w:rsidR="00000000" w:rsidRPr="00000000">
        <w:rPr>
          <w:rFonts w:ascii="Verdana" w:cs="Verdana" w:eastAsia="Verdana" w:hAnsi="Verdana"/>
          <w:color w:val="212121"/>
          <w:sz w:val="18"/>
          <w:szCs w:val="18"/>
          <w:highlight w:val="white"/>
          <w:rtl w:val="0"/>
        </w:rPr>
        <w:t xml:space="preserve"> Outlines loan terms and conditions.</w:t>
      </w:r>
    </w:p>
    <w:p w:rsidR="00000000" w:rsidDel="00000000" w:rsidP="00000000" w:rsidRDefault="00000000" w:rsidRPr="00000000" w14:paraId="0000003A">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Security Agreement:</w:t>
      </w:r>
      <w:r w:rsidDel="00000000" w:rsidR="00000000" w:rsidRPr="00000000">
        <w:rPr>
          <w:rFonts w:ascii="Verdana" w:cs="Verdana" w:eastAsia="Verdana" w:hAnsi="Verdana"/>
          <w:color w:val="212121"/>
          <w:sz w:val="18"/>
          <w:szCs w:val="18"/>
          <w:highlight w:val="white"/>
          <w:rtl w:val="0"/>
        </w:rPr>
        <w:t xml:space="preserve"> Specifies collateral provided by Opco.</w:t>
      </w:r>
    </w:p>
    <w:p w:rsidR="00000000" w:rsidDel="00000000" w:rsidP="00000000" w:rsidRDefault="00000000" w:rsidRPr="00000000" w14:paraId="0000003B">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PPSA Financing Statement/Registration:</w:t>
      </w:r>
      <w:r w:rsidDel="00000000" w:rsidR="00000000" w:rsidRPr="00000000">
        <w:rPr>
          <w:rFonts w:ascii="Verdana" w:cs="Verdana" w:eastAsia="Verdana" w:hAnsi="Verdana"/>
          <w:color w:val="212121"/>
          <w:sz w:val="18"/>
          <w:szCs w:val="18"/>
          <w:highlight w:val="white"/>
          <w:rtl w:val="0"/>
        </w:rPr>
        <w:t xml:space="preserve"> Filed with the registry to perfect Holdco’s security interest.</w:t>
      </w:r>
    </w:p>
    <w:p w:rsidR="00000000" w:rsidDel="00000000" w:rsidP="00000000" w:rsidRDefault="00000000" w:rsidRPr="00000000" w14:paraId="0000003C">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Board Resolutions:</w:t>
      </w:r>
      <w:r w:rsidDel="00000000" w:rsidR="00000000" w:rsidRPr="00000000">
        <w:rPr>
          <w:rFonts w:ascii="Verdana" w:cs="Verdana" w:eastAsia="Verdana" w:hAnsi="Verdana"/>
          <w:color w:val="212121"/>
          <w:sz w:val="18"/>
          <w:szCs w:val="18"/>
          <w:highlight w:val="white"/>
          <w:rtl w:val="0"/>
        </w:rPr>
        <w:t xml:space="preserve"> Document approval of the financing and related security arrangements.</w:t>
      </w:r>
    </w:p>
    <w:p w:rsidR="00000000" w:rsidDel="00000000" w:rsidP="00000000" w:rsidRDefault="00000000" w:rsidRPr="00000000" w14:paraId="0000003D">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Risk Mitigation:</w:t>
      </w:r>
    </w:p>
    <w:p w:rsidR="00000000" w:rsidDel="00000000" w:rsidP="00000000" w:rsidRDefault="00000000" w:rsidRPr="00000000" w14:paraId="0000003E">
      <w:pPr>
        <w:numPr>
          <w:ilvl w:val="1"/>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Ensure that financing agreements are structured so that, in the event of insolvency, Holdco’s priority is clearly established.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360" w:line="408" w:lineRule="auto"/>
        <w:rPr>
          <w:rFonts w:ascii="Verdana" w:cs="Verdana" w:eastAsia="Verdana" w:hAnsi="Verdana"/>
          <w:color w:val="212121"/>
          <w:sz w:val="34"/>
          <w:szCs w:val="34"/>
          <w:highlight w:val="white"/>
        </w:rPr>
      </w:pPr>
      <w:bookmarkStart w:colFirst="0" w:colLast="0" w:name="_4uqkq737kl5a" w:id="8"/>
      <w:bookmarkEnd w:id="8"/>
      <w:r w:rsidDel="00000000" w:rsidR="00000000" w:rsidRPr="00000000">
        <w:rPr>
          <w:rFonts w:ascii="Verdana" w:cs="Verdana" w:eastAsia="Verdana" w:hAnsi="Verdana"/>
          <w:color w:val="212121"/>
          <w:sz w:val="34"/>
          <w:szCs w:val="34"/>
          <w:highlight w:val="white"/>
          <w:rtl w:val="0"/>
        </w:rPr>
        <w:t xml:space="preserve">Step 2: Set Up Multiple Opcos for Project‑Based Risk Segmentation</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jpgxxwbwzjdq" w:id="9"/>
      <w:bookmarkEnd w:id="9"/>
      <w:r w:rsidDel="00000000" w:rsidR="00000000" w:rsidRPr="00000000">
        <w:rPr>
          <w:rFonts w:ascii="Verdana" w:cs="Verdana" w:eastAsia="Verdana" w:hAnsi="Verdana"/>
          <w:b w:val="1"/>
          <w:bCs w:val="1"/>
          <w:color w:val="212121"/>
          <w:sz w:val="26"/>
          <w:szCs w:val="26"/>
          <w:highlight w:val="white"/>
          <w:rtl w:val="0"/>
        </w:rPr>
        <w:t xml:space="preserve">2.1. Create Separate Opcos for Different Projects or Business Lines</w:t>
      </w:r>
    </w:p>
    <w:p w:rsidR="00000000" w:rsidDel="00000000" w:rsidP="00000000" w:rsidRDefault="00000000" w:rsidRPr="00000000" w14:paraId="0000004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43">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Incorporate multiple project‑specific Opco subsidiaries to isolate liabilities.</w:t>
      </w:r>
    </w:p>
    <w:p w:rsidR="00000000" w:rsidDel="00000000" w:rsidP="00000000" w:rsidRDefault="00000000" w:rsidRPr="00000000" w14:paraId="0000004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45">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Articles of Incorporation for Each Opco:</w:t>
      </w:r>
      <w:r w:rsidDel="00000000" w:rsidR="00000000" w:rsidRPr="00000000">
        <w:rPr>
          <w:rFonts w:ascii="Verdana" w:cs="Verdana" w:eastAsia="Verdana" w:hAnsi="Verdana"/>
          <w:color w:val="212121"/>
          <w:sz w:val="18"/>
          <w:szCs w:val="18"/>
          <w:highlight w:val="white"/>
          <w:rtl w:val="0"/>
        </w:rPr>
        <w:t xml:space="preserve"> Legally establish each entity.</w:t>
      </w:r>
    </w:p>
    <w:p w:rsidR="00000000" w:rsidDel="00000000" w:rsidP="00000000" w:rsidRDefault="00000000" w:rsidRPr="00000000" w14:paraId="00000046">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Shareholding/Transfer Documents:</w:t>
      </w:r>
      <w:r w:rsidDel="00000000" w:rsidR="00000000" w:rsidRPr="00000000">
        <w:rPr>
          <w:rFonts w:ascii="Verdana" w:cs="Verdana" w:eastAsia="Verdana" w:hAnsi="Verdana"/>
          <w:color w:val="212121"/>
          <w:sz w:val="18"/>
          <w:szCs w:val="18"/>
          <w:highlight w:val="white"/>
          <w:rtl w:val="0"/>
        </w:rPr>
        <w:t xml:space="preserve"> Where Holdco holds a controlling interest.</w:t>
      </w:r>
    </w:p>
    <w:p w:rsidR="00000000" w:rsidDel="00000000" w:rsidP="00000000" w:rsidRDefault="00000000" w:rsidRPr="00000000" w14:paraId="00000047">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Director &amp; Liability Considerations for Each Opco:</w:t>
      </w:r>
    </w:p>
    <w:p w:rsidR="00000000" w:rsidDel="00000000" w:rsidP="00000000" w:rsidRDefault="00000000" w:rsidRPr="00000000" w14:paraId="00000048">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Indemnification Agreements:</w:t>
      </w:r>
      <w:r w:rsidDel="00000000" w:rsidR="00000000" w:rsidRPr="00000000">
        <w:rPr>
          <w:rFonts w:ascii="Verdana" w:cs="Verdana" w:eastAsia="Verdana" w:hAnsi="Verdana"/>
          <w:color w:val="212121"/>
          <w:sz w:val="18"/>
          <w:szCs w:val="18"/>
          <w:highlight w:val="white"/>
          <w:rtl w:val="0"/>
        </w:rPr>
        <w:t xml:space="preserve"> Each Opco must have an indemnification agreement with its directors tailored to address the risks specific to construction projects.</w:t>
      </w:r>
    </w:p>
    <w:p w:rsidR="00000000" w:rsidDel="00000000" w:rsidP="00000000" w:rsidRDefault="00000000" w:rsidRPr="00000000" w14:paraId="00000049">
      <w:pPr>
        <w:numPr>
          <w:ilvl w:val="1"/>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D&amp;O Insurance:</w:t>
      </w:r>
      <w:r w:rsidDel="00000000" w:rsidR="00000000" w:rsidRPr="00000000">
        <w:rPr>
          <w:rFonts w:ascii="Verdana" w:cs="Verdana" w:eastAsia="Verdana" w:hAnsi="Verdana"/>
          <w:color w:val="212121"/>
          <w:sz w:val="18"/>
          <w:szCs w:val="18"/>
          <w:highlight w:val="white"/>
          <w:rtl w:val="0"/>
        </w:rPr>
        <w:t xml:space="preserve"> Each Opco should obtain D&amp;O insurance to cover potential liabilities arising from their operations and statutory responsibilities.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7m74f3y03mrl" w:id="10"/>
      <w:bookmarkEnd w:id="10"/>
      <w:r w:rsidDel="00000000" w:rsidR="00000000" w:rsidRPr="00000000">
        <w:rPr>
          <w:rFonts w:ascii="Verdana" w:cs="Verdana" w:eastAsia="Verdana" w:hAnsi="Verdana"/>
          <w:b w:val="1"/>
          <w:bCs w:val="1"/>
          <w:color w:val="212121"/>
          <w:sz w:val="26"/>
          <w:szCs w:val="26"/>
          <w:highlight w:val="white"/>
          <w:rtl w:val="0"/>
        </w:rPr>
        <w:t xml:space="preserve">2.2. Lease Equipment &amp; Property from Holdco to Opcos</w:t>
      </w:r>
    </w:p>
    <w:p w:rsidR="00000000" w:rsidDel="00000000" w:rsidP="00000000" w:rsidRDefault="00000000" w:rsidRPr="00000000" w14:paraId="0000004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4C">
      <w:pPr>
        <w:numPr>
          <w:ilvl w:val="1"/>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Each Opco leases necessary assets from Holdco.</w:t>
      </w:r>
    </w:p>
    <w:p w:rsidR="00000000" w:rsidDel="00000000" w:rsidP="00000000" w:rsidRDefault="00000000" w:rsidRPr="00000000" w14:paraId="0000004D">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4E">
      <w:pPr>
        <w:numPr>
          <w:ilvl w:val="1"/>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Lease Agreements:</w:t>
      </w:r>
      <w:r w:rsidDel="00000000" w:rsidR="00000000" w:rsidRPr="00000000">
        <w:rPr>
          <w:rFonts w:ascii="Verdana" w:cs="Verdana" w:eastAsia="Verdana" w:hAnsi="Verdana"/>
          <w:color w:val="212121"/>
          <w:sz w:val="18"/>
          <w:szCs w:val="18"/>
          <w:highlight w:val="white"/>
          <w:rtl w:val="0"/>
        </w:rPr>
        <w:t xml:space="preserve"> Clearly define lease terms, responsibilities, and payment obligations.</w:t>
      </w:r>
    </w:p>
    <w:p w:rsidR="00000000" w:rsidDel="00000000" w:rsidP="00000000" w:rsidRDefault="00000000" w:rsidRPr="00000000" w14:paraId="0000004F">
      <w:pPr>
        <w:numPr>
          <w:ilvl w:val="1"/>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Asset Inventory Records:</w:t>
      </w:r>
      <w:r w:rsidDel="00000000" w:rsidR="00000000" w:rsidRPr="00000000">
        <w:rPr>
          <w:rFonts w:ascii="Verdana" w:cs="Verdana" w:eastAsia="Verdana" w:hAnsi="Verdana"/>
          <w:color w:val="212121"/>
          <w:sz w:val="18"/>
          <w:szCs w:val="18"/>
          <w:highlight w:val="white"/>
          <w:rtl w:val="0"/>
        </w:rPr>
        <w:t xml:space="preserve"> Maintain documentation to confirm assets remain under Holdco’s ownership.</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j31ot69cykio" w:id="11"/>
      <w:bookmarkEnd w:id="11"/>
      <w:r w:rsidDel="00000000" w:rsidR="00000000" w:rsidRPr="00000000">
        <w:rPr>
          <w:rFonts w:ascii="Verdana" w:cs="Verdana" w:eastAsia="Verdana" w:hAnsi="Verdana"/>
          <w:b w:val="1"/>
          <w:bCs w:val="1"/>
          <w:color w:val="212121"/>
          <w:sz w:val="26"/>
          <w:szCs w:val="26"/>
          <w:highlight w:val="white"/>
          <w:rtl w:val="0"/>
        </w:rPr>
        <w:t xml:space="preserve">2.3. Use Intercompany Agreements for Cash Flow &amp; Financing</w:t>
      </w:r>
    </w:p>
    <w:p w:rsidR="00000000" w:rsidDel="00000000" w:rsidP="00000000" w:rsidRDefault="00000000" w:rsidRPr="00000000" w14:paraId="00000051">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52">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Fund Opcos through intercompany loans from Holdco rather than relying solely on external financing.</w:t>
      </w:r>
    </w:p>
    <w:p w:rsidR="00000000" w:rsidDel="00000000" w:rsidP="00000000" w:rsidRDefault="00000000" w:rsidRPr="00000000" w14:paraId="0000005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54">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Intercompany Loan Agreements:</w:t>
      </w:r>
      <w:r w:rsidDel="00000000" w:rsidR="00000000" w:rsidRPr="00000000">
        <w:rPr>
          <w:rFonts w:ascii="Verdana" w:cs="Verdana" w:eastAsia="Verdana" w:hAnsi="Verdana"/>
          <w:color w:val="212121"/>
          <w:sz w:val="18"/>
          <w:szCs w:val="18"/>
          <w:highlight w:val="white"/>
          <w:rtl w:val="0"/>
        </w:rPr>
        <w:t xml:space="preserve"> Specify terms and conditions.</w:t>
      </w:r>
    </w:p>
    <w:p w:rsidR="00000000" w:rsidDel="00000000" w:rsidP="00000000" w:rsidRDefault="00000000" w:rsidRPr="00000000" w14:paraId="00000055">
      <w:pPr>
        <w:numPr>
          <w:ilvl w:val="1"/>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Security Agreements &amp; PPSA Financing Statements:</w:t>
      </w:r>
      <w:r w:rsidDel="00000000" w:rsidR="00000000" w:rsidRPr="00000000">
        <w:rPr>
          <w:rFonts w:ascii="Verdana" w:cs="Verdana" w:eastAsia="Verdana" w:hAnsi="Verdana"/>
          <w:color w:val="212121"/>
          <w:sz w:val="18"/>
          <w:szCs w:val="18"/>
          <w:highlight w:val="white"/>
          <w:rtl w:val="0"/>
        </w:rPr>
        <w:t xml:space="preserve"> Perfect security interests over each Opco’s collateral to ensure Holdco’s priority.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360" w:line="408" w:lineRule="auto"/>
        <w:rPr>
          <w:rFonts w:ascii="Verdana" w:cs="Verdana" w:eastAsia="Verdana" w:hAnsi="Verdana"/>
          <w:color w:val="212121"/>
          <w:sz w:val="34"/>
          <w:szCs w:val="34"/>
          <w:highlight w:val="white"/>
        </w:rPr>
      </w:pPr>
      <w:bookmarkStart w:colFirst="0" w:colLast="0" w:name="_hntrvzdj5d4i" w:id="12"/>
      <w:bookmarkEnd w:id="12"/>
      <w:r w:rsidDel="00000000" w:rsidR="00000000" w:rsidRPr="00000000">
        <w:rPr>
          <w:rFonts w:ascii="Verdana" w:cs="Verdana" w:eastAsia="Verdana" w:hAnsi="Verdana"/>
          <w:color w:val="212121"/>
          <w:sz w:val="34"/>
          <w:szCs w:val="34"/>
          <w:highlight w:val="white"/>
          <w:rtl w:val="0"/>
        </w:rPr>
        <w:t xml:space="preserve">Step 3: Implement Secured PPSA Interests &amp; Third‑Party Encumbrances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1vq7l5g7cju" w:id="13"/>
      <w:bookmarkEnd w:id="13"/>
      <w:r w:rsidDel="00000000" w:rsidR="00000000" w:rsidRPr="00000000">
        <w:rPr>
          <w:rFonts w:ascii="Verdana" w:cs="Verdana" w:eastAsia="Verdana" w:hAnsi="Verdana"/>
          <w:b w:val="1"/>
          <w:bCs w:val="1"/>
          <w:color w:val="212121"/>
          <w:sz w:val="26"/>
          <w:szCs w:val="26"/>
          <w:highlight w:val="white"/>
          <w:rtl w:val="0"/>
        </w:rPr>
        <w:t xml:space="preserve">3.1. Ensure Holdco Registers Security Interests Against All Opcos</w:t>
      </w:r>
    </w:p>
    <w:p w:rsidR="00000000" w:rsidDel="00000000" w:rsidP="00000000" w:rsidRDefault="00000000" w:rsidRPr="00000000" w14:paraId="0000005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5A">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Holdco registers first‑ranking PPSA security interests over key assets in each Opco, such as accounts receivable, inventory, and any equipment retained in the Opco.</w:t>
      </w:r>
    </w:p>
    <w:p w:rsidR="00000000" w:rsidDel="00000000" w:rsidP="00000000" w:rsidRDefault="00000000" w:rsidRPr="00000000" w14:paraId="0000005B">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5C">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Security Agreements for Each Opco:</w:t>
      </w:r>
      <w:r w:rsidDel="00000000" w:rsidR="00000000" w:rsidRPr="00000000">
        <w:rPr>
          <w:rFonts w:ascii="Verdana" w:cs="Verdana" w:eastAsia="Verdana" w:hAnsi="Verdana"/>
          <w:color w:val="212121"/>
          <w:sz w:val="18"/>
          <w:szCs w:val="18"/>
          <w:highlight w:val="white"/>
          <w:rtl w:val="0"/>
        </w:rPr>
        <w:t xml:space="preserve"> Define collateral specifics.</w:t>
      </w:r>
    </w:p>
    <w:p w:rsidR="00000000" w:rsidDel="00000000" w:rsidP="00000000" w:rsidRDefault="00000000" w:rsidRPr="00000000" w14:paraId="0000005D">
      <w:pPr>
        <w:numPr>
          <w:ilvl w:val="1"/>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PPSA Financing Statements/Registrations:</w:t>
      </w:r>
      <w:r w:rsidDel="00000000" w:rsidR="00000000" w:rsidRPr="00000000">
        <w:rPr>
          <w:rFonts w:ascii="Verdana" w:cs="Verdana" w:eastAsia="Verdana" w:hAnsi="Verdana"/>
          <w:color w:val="212121"/>
          <w:sz w:val="18"/>
          <w:szCs w:val="18"/>
          <w:highlight w:val="white"/>
          <w:rtl w:val="0"/>
        </w:rPr>
        <w:t xml:space="preserve"> File for each entity to perfect security interests.</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w46oyruahxj4" w:id="14"/>
      <w:bookmarkEnd w:id="14"/>
      <w:r w:rsidDel="00000000" w:rsidR="00000000" w:rsidRPr="00000000">
        <w:rPr>
          <w:rFonts w:ascii="Verdana" w:cs="Verdana" w:eastAsia="Verdana" w:hAnsi="Verdana"/>
          <w:b w:val="1"/>
          <w:bCs w:val="1"/>
          <w:color w:val="212121"/>
          <w:sz w:val="26"/>
          <w:szCs w:val="26"/>
          <w:highlight w:val="white"/>
          <w:rtl w:val="0"/>
        </w:rPr>
        <w:t xml:space="preserve">3.2. Use Trusted Third Parties to Register Encumbrances</w:t>
      </w:r>
    </w:p>
    <w:p w:rsidR="00000000" w:rsidDel="00000000" w:rsidP="00000000" w:rsidRDefault="00000000" w:rsidRPr="00000000" w14:paraId="0000005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60">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When additional financing is necessary, secure funds from lenders or suppliers who also register their PPSA liens.</w:t>
      </w:r>
    </w:p>
    <w:p w:rsidR="00000000" w:rsidDel="00000000" w:rsidP="00000000" w:rsidRDefault="00000000" w:rsidRPr="00000000" w14:paraId="0000006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62">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Third‑Party Loan or Supplier Agreements:</w:t>
      </w:r>
      <w:r w:rsidDel="00000000" w:rsidR="00000000" w:rsidRPr="00000000">
        <w:rPr>
          <w:rFonts w:ascii="Verdana" w:cs="Verdana" w:eastAsia="Verdana" w:hAnsi="Verdana"/>
          <w:color w:val="212121"/>
          <w:sz w:val="18"/>
          <w:szCs w:val="18"/>
          <w:highlight w:val="white"/>
          <w:rtl w:val="0"/>
        </w:rPr>
        <w:t xml:space="preserve"> Include terms regarding PPSA registration.</w:t>
      </w:r>
    </w:p>
    <w:p w:rsidR="00000000" w:rsidDel="00000000" w:rsidP="00000000" w:rsidRDefault="00000000" w:rsidRPr="00000000" w14:paraId="00000063">
      <w:pPr>
        <w:numPr>
          <w:ilvl w:val="1"/>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Corresponding PPSA Registrations:</w:t>
      </w:r>
      <w:r w:rsidDel="00000000" w:rsidR="00000000" w:rsidRPr="00000000">
        <w:rPr>
          <w:rFonts w:ascii="Verdana" w:cs="Verdana" w:eastAsia="Verdana" w:hAnsi="Verdana"/>
          <w:color w:val="212121"/>
          <w:sz w:val="18"/>
          <w:szCs w:val="18"/>
          <w:highlight w:val="white"/>
          <w:rtl w:val="0"/>
        </w:rPr>
        <w:t xml:space="preserve"> Establish lien priorities.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yb7tcyloxw82" w:id="15"/>
      <w:bookmarkEnd w:id="15"/>
      <w:r w:rsidDel="00000000" w:rsidR="00000000" w:rsidRPr="00000000">
        <w:rPr>
          <w:rFonts w:ascii="Verdana" w:cs="Verdana" w:eastAsia="Verdana" w:hAnsi="Verdana"/>
          <w:b w:val="1"/>
          <w:bCs w:val="1"/>
          <w:color w:val="212121"/>
          <w:sz w:val="26"/>
          <w:szCs w:val="26"/>
          <w:highlight w:val="white"/>
          <w:rtl w:val="0"/>
        </w:rPr>
        <w:t xml:space="preserve">3.3. Avoid Holding Excess Cash in Opcos</w:t>
      </w:r>
    </w:p>
    <w:p w:rsidR="00000000" w:rsidDel="00000000" w:rsidP="00000000" w:rsidRDefault="00000000" w:rsidRPr="00000000" w14:paraId="00000065">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66">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Require Opcos to distribute excess cash to Holdco as dividends or management fees, thus reducing the exposure of large cash balances to creditor claims.</w:t>
      </w:r>
    </w:p>
    <w:p w:rsidR="00000000" w:rsidDel="00000000" w:rsidP="00000000" w:rsidRDefault="00000000" w:rsidRPr="00000000" w14:paraId="00000067">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68">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Dividend Resolutions and Board Minutes:</w:t>
      </w:r>
      <w:r w:rsidDel="00000000" w:rsidR="00000000" w:rsidRPr="00000000">
        <w:rPr>
          <w:rFonts w:ascii="Verdana" w:cs="Verdana" w:eastAsia="Verdana" w:hAnsi="Verdana"/>
          <w:color w:val="212121"/>
          <w:sz w:val="18"/>
          <w:szCs w:val="18"/>
          <w:highlight w:val="white"/>
          <w:rtl w:val="0"/>
        </w:rPr>
        <w:t xml:space="preserve"> Document the distribution of profits.</w:t>
      </w:r>
    </w:p>
    <w:p w:rsidR="00000000" w:rsidDel="00000000" w:rsidP="00000000" w:rsidRDefault="00000000" w:rsidRPr="00000000" w14:paraId="00000069">
      <w:pPr>
        <w:numPr>
          <w:ilvl w:val="1"/>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Intercompany Management Fee Agreements:</w:t>
      </w:r>
      <w:r w:rsidDel="00000000" w:rsidR="00000000" w:rsidRPr="00000000">
        <w:rPr>
          <w:rFonts w:ascii="Verdana" w:cs="Verdana" w:eastAsia="Verdana" w:hAnsi="Verdana"/>
          <w:color w:val="212121"/>
          <w:sz w:val="18"/>
          <w:szCs w:val="18"/>
          <w:highlight w:val="white"/>
          <w:rtl w:val="0"/>
        </w:rPr>
        <w:t xml:space="preserve"> Outline terms under which funds are transferred.</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360" w:line="408" w:lineRule="auto"/>
        <w:rPr>
          <w:rFonts w:ascii="Verdana" w:cs="Verdana" w:eastAsia="Verdana" w:hAnsi="Verdana"/>
          <w:color w:val="212121"/>
          <w:sz w:val="34"/>
          <w:szCs w:val="34"/>
          <w:highlight w:val="white"/>
        </w:rPr>
      </w:pPr>
      <w:bookmarkStart w:colFirst="0" w:colLast="0" w:name="_y7wq1givpwx6" w:id="16"/>
      <w:bookmarkEnd w:id="16"/>
      <w:r w:rsidDel="00000000" w:rsidR="00000000" w:rsidRPr="00000000">
        <w:rPr>
          <w:rFonts w:ascii="Verdana" w:cs="Verdana" w:eastAsia="Verdana" w:hAnsi="Verdana"/>
          <w:color w:val="212121"/>
          <w:sz w:val="34"/>
          <w:szCs w:val="34"/>
          <w:highlight w:val="white"/>
          <w:rtl w:val="0"/>
        </w:rPr>
        <w:t xml:space="preserve">Additional Financial Planning Considerations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thblc525khge" w:id="17"/>
      <w:bookmarkEnd w:id="17"/>
      <w:r w:rsidDel="00000000" w:rsidR="00000000" w:rsidRPr="00000000">
        <w:rPr>
          <w:rFonts w:ascii="Verdana" w:cs="Verdana" w:eastAsia="Verdana" w:hAnsi="Verdana"/>
          <w:b w:val="1"/>
          <w:bCs w:val="1"/>
          <w:color w:val="212121"/>
          <w:sz w:val="26"/>
          <w:szCs w:val="26"/>
          <w:highlight w:val="white"/>
          <w:rtl w:val="0"/>
        </w:rPr>
        <w:t xml:space="preserve">Use of Nominee Directors</w:t>
      </w:r>
    </w:p>
    <w:p w:rsidR="00000000" w:rsidDel="00000000" w:rsidP="00000000" w:rsidRDefault="00000000" w:rsidRPr="00000000" w14:paraId="0000006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6E">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Evaluate the appointment of nominee directors to provide additional oversight and help mitigate conflicts of interest.</w:t>
      </w:r>
    </w:p>
    <w:p w:rsidR="00000000" w:rsidDel="00000000" w:rsidP="00000000" w:rsidRDefault="00000000" w:rsidRPr="00000000" w14:paraId="0000006F">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Nominee directors should be carefully selected and their roles clearly defined in corporate governance documents.</w:t>
      </w:r>
    </w:p>
    <w:p w:rsidR="00000000" w:rsidDel="00000000" w:rsidP="00000000" w:rsidRDefault="00000000" w:rsidRPr="00000000" w14:paraId="0000007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71">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Director Appointment Resolutions:</w:t>
      </w:r>
      <w:r w:rsidDel="00000000" w:rsidR="00000000" w:rsidRPr="00000000">
        <w:rPr>
          <w:rFonts w:ascii="Verdana" w:cs="Verdana" w:eastAsia="Verdana" w:hAnsi="Verdana"/>
          <w:color w:val="212121"/>
          <w:sz w:val="18"/>
          <w:szCs w:val="18"/>
          <w:highlight w:val="white"/>
          <w:rtl w:val="0"/>
        </w:rPr>
        <w:t xml:space="preserve"> Record the appointment of nominee directors.</w:t>
      </w:r>
    </w:p>
    <w:p w:rsidR="00000000" w:rsidDel="00000000" w:rsidP="00000000" w:rsidRDefault="00000000" w:rsidRPr="00000000" w14:paraId="00000072">
      <w:pPr>
        <w:numPr>
          <w:ilvl w:val="1"/>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Corporate Governance Policies:</w:t>
      </w:r>
      <w:r w:rsidDel="00000000" w:rsidR="00000000" w:rsidRPr="00000000">
        <w:rPr>
          <w:rFonts w:ascii="Verdana" w:cs="Verdana" w:eastAsia="Verdana" w:hAnsi="Verdana"/>
          <w:color w:val="212121"/>
          <w:sz w:val="18"/>
          <w:szCs w:val="18"/>
          <w:highlight w:val="white"/>
          <w:rtl w:val="0"/>
        </w:rPr>
        <w:t xml:space="preserve"> Detail the role, responsibilities, and limitations of nominee directors.</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08" w:lineRule="auto"/>
        <w:rPr>
          <w:rFonts w:ascii="Verdana" w:cs="Verdana" w:eastAsia="Verdana" w:hAnsi="Verdana"/>
          <w:b w:val="1"/>
          <w:bCs w:val="1"/>
          <w:color w:val="212121"/>
          <w:sz w:val="26"/>
          <w:szCs w:val="26"/>
          <w:highlight w:val="white"/>
        </w:rPr>
      </w:pPr>
      <w:bookmarkStart w:colFirst="0" w:colLast="0" w:name="_y4s1jdr431dy" w:id="18"/>
      <w:bookmarkEnd w:id="18"/>
      <w:r w:rsidDel="00000000" w:rsidR="00000000" w:rsidRPr="00000000">
        <w:rPr>
          <w:rFonts w:ascii="Verdana" w:cs="Verdana" w:eastAsia="Verdana" w:hAnsi="Verdana"/>
          <w:b w:val="1"/>
          <w:bCs w:val="1"/>
          <w:color w:val="212121"/>
          <w:sz w:val="26"/>
          <w:szCs w:val="26"/>
          <w:highlight w:val="white"/>
          <w:rtl w:val="0"/>
        </w:rPr>
        <w:t xml:space="preserve">Life Insurance / Key‑Man Insurance on Main Shareholder</w:t>
      </w:r>
    </w:p>
    <w:p w:rsidR="00000000" w:rsidDel="00000000" w:rsidP="00000000" w:rsidRDefault="00000000" w:rsidRPr="00000000" w14:paraId="00000074">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Action:</w:t>
      </w:r>
    </w:p>
    <w:p w:rsidR="00000000" w:rsidDel="00000000" w:rsidP="00000000" w:rsidRDefault="00000000" w:rsidRPr="00000000" w14:paraId="00000075">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Assess the need for life or key‑man insurance on the main shareholder to protect the business against the financial disruption that could occur due to their unexpected absence.</w:t>
      </w:r>
    </w:p>
    <w:p w:rsidR="00000000" w:rsidDel="00000000" w:rsidP="00000000" w:rsidRDefault="00000000" w:rsidRPr="00000000" w14:paraId="0000007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Key Documentation:</w:t>
      </w:r>
    </w:p>
    <w:p w:rsidR="00000000" w:rsidDel="00000000" w:rsidP="00000000" w:rsidRDefault="00000000" w:rsidRPr="00000000" w14:paraId="00000077">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Insurance Policies:</w:t>
      </w:r>
      <w:r w:rsidDel="00000000" w:rsidR="00000000" w:rsidRPr="00000000">
        <w:rPr>
          <w:rFonts w:ascii="Verdana" w:cs="Verdana" w:eastAsia="Verdana" w:hAnsi="Verdana"/>
          <w:color w:val="212121"/>
          <w:sz w:val="18"/>
          <w:szCs w:val="18"/>
          <w:highlight w:val="white"/>
          <w:rtl w:val="0"/>
        </w:rPr>
        <w:t xml:space="preserve"> Ensure that the coverage terms, beneficiaries, and amounts are documented.</w:t>
      </w:r>
    </w:p>
    <w:p w:rsidR="00000000" w:rsidDel="00000000" w:rsidP="00000000" w:rsidRDefault="00000000" w:rsidRPr="00000000" w14:paraId="00000078">
      <w:pPr>
        <w:numPr>
          <w:ilvl w:val="1"/>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144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Shareholder Agreements:</w:t>
      </w:r>
      <w:r w:rsidDel="00000000" w:rsidR="00000000" w:rsidRPr="00000000">
        <w:rPr>
          <w:rFonts w:ascii="Verdana" w:cs="Verdana" w:eastAsia="Verdana" w:hAnsi="Verdana"/>
          <w:color w:val="212121"/>
          <w:sz w:val="18"/>
          <w:szCs w:val="18"/>
          <w:highlight w:val="white"/>
          <w:rtl w:val="0"/>
        </w:rPr>
        <w:t xml:space="preserve"> May include provisions regarding the treatment of shares and succession planning in the event of the main shareholder’s death or incapacity.</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360" w:line="408" w:lineRule="auto"/>
        <w:rPr>
          <w:rFonts w:ascii="Verdana" w:cs="Verdana" w:eastAsia="Verdana" w:hAnsi="Verdana"/>
          <w:color w:val="212121"/>
          <w:sz w:val="34"/>
          <w:szCs w:val="34"/>
          <w:highlight w:val="white"/>
        </w:rPr>
      </w:pPr>
      <w:bookmarkStart w:colFirst="0" w:colLast="0" w:name="_ql17g7f4xh26" w:id="19"/>
      <w:bookmarkEnd w:id="19"/>
      <w:r w:rsidDel="00000000" w:rsidR="00000000" w:rsidRPr="00000000">
        <w:rPr>
          <w:rFonts w:ascii="Verdana" w:cs="Verdana" w:eastAsia="Verdana" w:hAnsi="Verdana"/>
          <w:color w:val="212121"/>
          <w:sz w:val="34"/>
          <w:szCs w:val="34"/>
          <w:highlight w:val="white"/>
          <w:rtl w:val="0"/>
        </w:rPr>
        <w:t xml:space="preserve">Final Integration and Summary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By combining the above steps and additional considerations, a general contracting business in Ontario can achieve a robust, multi‑layered asset protection and financial planning framework that:</w:t>
      </w:r>
    </w:p>
    <w:p w:rsidR="00000000" w:rsidDel="00000000" w:rsidP="00000000" w:rsidRDefault="00000000" w:rsidRPr="00000000" w14:paraId="0000007C">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Separates Ownership from Operational Risk:</w:t>
      </w:r>
      <w:r w:rsidDel="00000000" w:rsidR="00000000" w:rsidRPr="00000000">
        <w:rPr>
          <w:rFonts w:ascii="Verdana" w:cs="Verdana" w:eastAsia="Verdana" w:hAnsi="Verdana"/>
          <w:color w:val="212121"/>
          <w:sz w:val="18"/>
          <w:szCs w:val="18"/>
          <w:highlight w:val="white"/>
          <w:rtl w:val="0"/>
        </w:rPr>
        <w:t xml:space="preserve"> Through the Holdco‑Opco structure.</w:t>
      </w:r>
    </w:p>
    <w:p w:rsidR="00000000" w:rsidDel="00000000" w:rsidP="00000000" w:rsidRDefault="00000000" w:rsidRPr="00000000" w14:paraId="0000007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Isolates Project‑Specific Liabilities:</w:t>
      </w:r>
      <w:r w:rsidDel="00000000" w:rsidR="00000000" w:rsidRPr="00000000">
        <w:rPr>
          <w:rFonts w:ascii="Verdana" w:cs="Verdana" w:eastAsia="Verdana" w:hAnsi="Verdana"/>
          <w:color w:val="212121"/>
          <w:sz w:val="18"/>
          <w:szCs w:val="18"/>
          <w:highlight w:val="white"/>
          <w:rtl w:val="0"/>
        </w:rPr>
        <w:t xml:space="preserve"> Via the creation of multiple project‑specific Opcos.</w:t>
      </w:r>
    </w:p>
    <w:p w:rsidR="00000000" w:rsidDel="00000000" w:rsidP="00000000" w:rsidRDefault="00000000" w:rsidRPr="00000000" w14:paraId="0000007E">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Secures Priority Claims:</w:t>
      </w:r>
      <w:r w:rsidDel="00000000" w:rsidR="00000000" w:rsidRPr="00000000">
        <w:rPr>
          <w:rFonts w:ascii="Verdana" w:cs="Verdana" w:eastAsia="Verdana" w:hAnsi="Verdana"/>
          <w:color w:val="212121"/>
          <w:sz w:val="18"/>
          <w:szCs w:val="18"/>
          <w:highlight w:val="white"/>
          <w:rtl w:val="0"/>
        </w:rPr>
        <w:t xml:space="preserve"> With properly perfected PPSA registrations and layered encumbrances.</w:t>
      </w:r>
    </w:p>
    <w:p w:rsidR="00000000" w:rsidDel="00000000" w:rsidP="00000000" w:rsidRDefault="00000000" w:rsidRPr="00000000" w14:paraId="0000007F">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Mitigates Director Liability:</w:t>
      </w:r>
      <w:r w:rsidDel="00000000" w:rsidR="00000000" w:rsidRPr="00000000">
        <w:rPr>
          <w:rFonts w:ascii="Verdana" w:cs="Verdana" w:eastAsia="Verdana" w:hAnsi="Verdana"/>
          <w:color w:val="212121"/>
          <w:sz w:val="18"/>
          <w:szCs w:val="18"/>
          <w:highlight w:val="white"/>
          <w:rtl w:val="0"/>
        </w:rPr>
        <w:t xml:space="preserve"> By ensuring that all companies have tailored indemnification agreements and D&amp;O insurance designed for the Ontario construction industry.</w:t>
      </w:r>
    </w:p>
    <w:p w:rsidR="00000000" w:rsidDel="00000000" w:rsidP="00000000" w:rsidRDefault="00000000" w:rsidRPr="00000000" w14:paraId="0000008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Enhances Corporate Governance:</w:t>
      </w:r>
      <w:r w:rsidDel="00000000" w:rsidR="00000000" w:rsidRPr="00000000">
        <w:rPr>
          <w:rFonts w:ascii="Verdana" w:cs="Verdana" w:eastAsia="Verdana" w:hAnsi="Verdana"/>
          <w:color w:val="212121"/>
          <w:sz w:val="18"/>
          <w:szCs w:val="18"/>
          <w:highlight w:val="white"/>
          <w:rtl w:val="0"/>
        </w:rPr>
        <w:t xml:space="preserve"> With the potential use of nominee directors and clearly defined board committees.</w:t>
      </w:r>
    </w:p>
    <w:p w:rsidR="00000000" w:rsidDel="00000000" w:rsidP="00000000" w:rsidRDefault="00000000" w:rsidRPr="00000000" w14:paraId="00000081">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408" w:lineRule="auto"/>
        <w:ind w:left="720" w:hanging="360"/>
        <w:rPr>
          <w:rFonts w:ascii="Verdana" w:cs="Verdana" w:eastAsia="Verdana" w:hAnsi="Verdana"/>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Protects Continuity:</w:t>
      </w:r>
      <w:r w:rsidDel="00000000" w:rsidR="00000000" w:rsidRPr="00000000">
        <w:rPr>
          <w:rFonts w:ascii="Verdana" w:cs="Verdana" w:eastAsia="Verdana" w:hAnsi="Verdana"/>
          <w:color w:val="212121"/>
          <w:sz w:val="18"/>
          <w:szCs w:val="18"/>
          <w:highlight w:val="white"/>
          <w:rtl w:val="0"/>
        </w:rPr>
        <w:t xml:space="preserve"> Through strategic life or key‑man insurance on the main shareholder and careful financial planning regarding share structures and dividend policies.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Each step requires careful documentation, regular board oversight, and periodic reviews to ensure compliance with evolving legal standards and the specific risks of the construction industry. This integrated approach not only shields the companies from creditor claims but also minimizes potential personal liability for directors and enhances the overall financial stability of the business.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further refinement is needed or you have additional considerations, please let me know!</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408" w:lineRule="auto"/>
        <w:ind w:left="0" w:firstLine="0"/>
        <w:rPr>
          <w:rFonts w:ascii="Verdana" w:cs="Verdana" w:eastAsia="Verdana" w:hAnsi="Verdana"/>
          <w:color w:val="212121"/>
          <w:sz w:val="18"/>
          <w:szCs w:val="18"/>
          <w:highlight w:val="white"/>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