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kfelenff08pw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Prepare for Renewal, Transfer / Sale, or Exit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YRL’s commercial objective is continuity or clean disengagement on controlled terms.</w:t>
        <w:br w:type="textWrapping"/>
        <w:t xml:space="preserve"> Counsel’s role is to manage </w:t>
      </w: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consent architecture</w:t>
      </w:r>
      <w:r w:rsidDel="00000000" w:rsidR="00000000" w:rsidRPr="00000000">
        <w:rPr>
          <w:rtl w:val="0"/>
        </w:rPr>
        <w:t xml:space="preserve"> — to ensure no transition (renewal, sale, or exit) occurs outside YRL’s own timeline or documentation.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4.2901716068645"/>
        <w:gridCol w:w="3450.982839313573"/>
        <w:gridCol w:w="4414.726989079563"/>
        <w:tblGridChange w:id="0">
          <w:tblGrid>
            <w:gridCol w:w="1494.2901716068645"/>
            <w:gridCol w:w="3450.982839313573"/>
            <w:gridCol w:w="4414.7269890795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Counsel Tactic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 renewal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Franchise Agreement (renewal clause, term, notice periods); AWA s. 3 (duty of fair dealing).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• Review renewal clause for: timing of notice, prerequisites (no default, upgrades, payment obligations), and franchisor’s discretion.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• Diarize all renewal-notice dates.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• Where the two-year rescission status is unclear,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avoid affirming</w:t>
            </w:r>
            <w:r w:rsidDel="00000000" w:rsidR="00000000" w:rsidRPr="00000000">
              <w:rPr>
                <w:rtl w:val="0"/>
              </w:rPr>
              <w:t xml:space="preserve"> the franchise until confirmed. Correspondence should state that “the franchisee is reviewing its rights under the Arthur Wishart Act.”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• Use renewal notice periods to gain breathing space for negotiation—request updated disclosure if renewal requires new agreement.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 for transfer or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Franchise Agreement (assignment clause, consent requirements); common law duty of good faith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Bhasin v Hrynew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• Identify who must consent (franchisor, landlord, lender) and on what conditions.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• Review whether consent may be “not to be unreasonably withheld”—if silent, invoke AWA s. 3 to argue reasonableness.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Obtain franchisor’s current disclosure package early to shorten approval cycle.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Ensure purchaser is a corporation so YRL’s principals can exit personal guarantees.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Structure transaction so that closing is conditional on franchisor consent, avoiding premature termination exposure.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 valuation and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Contractual terms; fair-dealing obligation.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• Request franchisor performance data (sales averages, advertising spend) to support valuation.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• If franchisor has under-delivered support, use as bargaining offset.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• Coordinate with accountant to quantify goodwill and recoverable capital expenditures.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for exit or non-renewal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AWA s. 3 (fair dealing); equitable relief doctrines (relief from forfeiture, unconscionability).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Review termination and post-termination obligations (non-competes, de-branding, inventory buy-back).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Negotiate a transition period that preserves YRL’s ability to sell remaining stock and maintain cashflow.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Document all communications to demonstrate good-faith performance by YRL in case of later litigation.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• If rescission might still be viable, preserve evidence and avoid conduct that would confirm renewal or waiver of rights.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i1ty4xnzqr7q" w:id="1"/>
      <w:bookmarkEnd w:id="1"/>
      <w:r w:rsidDel="00000000" w:rsidR="00000000" w:rsidRPr="00000000">
        <w:rPr>
          <w:b w:val="1"/>
          <w:bCs w:val="1"/>
          <w:rtl w:val="0"/>
        </w:rPr>
        <w:t xml:space="preserve">Counsel’s Discipline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 the calendar.</w:t>
        <w:br w:type="textWrapping"/>
      </w:r>
      <w:r w:rsidDel="00000000" w:rsidR="00000000" w:rsidRPr="00000000">
        <w:rPr>
          <w:rtl w:val="0"/>
        </w:rPr>
        <w:t xml:space="preserve"> Renewal and assignment timelines are statutory leverage; missing them surrenders control.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the narrative.</w:t>
        <w:br w:type="textWrapping"/>
      </w:r>
      <w:r w:rsidDel="00000000" w:rsidR="00000000" w:rsidRPr="00000000">
        <w:rPr>
          <w:rtl w:val="0"/>
        </w:rPr>
        <w:t xml:space="preserve"> All correspondence should express cooperation and review — never concession.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 the exit.</w:t>
        <w:br w:type="textWrapping"/>
      </w:r>
      <w:r w:rsidDel="00000000" w:rsidR="00000000" w:rsidRPr="00000000">
        <w:rPr>
          <w:rtl w:val="0"/>
        </w:rPr>
        <w:t xml:space="preserve"> Whether renewal, sale, or walk-away, YRL’s process must appear fair, documented, and procedurally sound.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