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orvx5eu9rnn" w:id="0"/>
      <w:bookmarkEnd w:id="0"/>
      <w:r w:rsidDel="00000000" w:rsidR="00000000" w:rsidRPr="00000000">
        <w:rPr>
          <w:b w:val="1"/>
          <w:bCs w:val="1"/>
          <w:rtl w:val="0"/>
        </w:rPr>
        <w:t xml:space="preserve">How to handle the call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conversation as a </w:t>
      </w:r>
      <w:r w:rsidDel="00000000" w:rsidR="00000000" w:rsidRPr="00000000">
        <w:rPr>
          <w:i w:val="1"/>
          <w:iCs w:val="1"/>
          <w:rtl w:val="0"/>
        </w:rPr>
        <w:t xml:space="preserve">practical negotiation about closure</w:t>
      </w:r>
      <w:r w:rsidDel="00000000" w:rsidR="00000000" w:rsidRPr="00000000">
        <w:rPr>
          <w:rtl w:val="0"/>
        </w:rPr>
        <w:t xml:space="preserve">, not an adjudication of history.</w:t>
        <w:br w:type="textWrapping"/>
        <w:t xml:space="preserve"> Suggested framing: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 termination as an established fact: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“Our understanding is that the franchise relationship has ended. Our focus now is to bring commercial finality to both sides.”</w:t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Decline to debate the back-story: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“We may differ on aspects of what led to the termination, but that’s not productive to revisit right now.”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practical next steps: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“Let’s focus on what’s required to unwind matters properly — inventory, signage, any mutual releases.”</w:t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off speculative admissions:</w:t>
        <w:br w:type="textWrapping"/>
      </w:r>
      <w:r w:rsidDel="00000000" w:rsidR="00000000" w:rsidRPr="00000000">
        <w:rPr>
          <w:rtl w:val="0"/>
        </w:rPr>
        <w:t xml:space="preserve"> Avoid saying anything like “my client was struggling” or “I understand your client felt frustrated,” which can be recast later as evidence of default.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</w:t>
      </w:r>
      <w:r w:rsidDel="00000000" w:rsidR="00000000" w:rsidRPr="00000000">
        <w:rPr>
          <w:b w:val="1"/>
          <w:bCs w:val="1"/>
          <w:rtl w:val="0"/>
        </w:rPr>
        <w:t xml:space="preserve">memorialize the call</w:t>
      </w:r>
      <w:r w:rsidDel="00000000" w:rsidR="00000000" w:rsidRPr="00000000">
        <w:rPr>
          <w:rtl w:val="0"/>
        </w:rPr>
        <w:t xml:space="preserve"> right after. A short confirming email — “Thanks for speaking; we agreed to explore terms of a full and final settlement following termination of the franchise relationship” — fixes the fact of termination and your constructive posture.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