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deal was never meant to protect the franchisee. It’s a tightly controlled commercial model with layered exposure and no meaningful off-ramp.</w:t>
      </w:r>
    </w:p>
    <w:p w:rsidR="00000000" w:rsidDel="00000000" w:rsidP="00000000" w:rsidRDefault="00000000" w:rsidRPr="00000000" w14:paraId="00000003">
      <w:pPr>
        <w:rPr/>
      </w:pPr>
      <w:r w:rsidDel="00000000" w:rsidR="00000000" w:rsidRPr="00000000">
        <w:rPr>
          <w:rtl w:val="0"/>
        </w:rPr>
        <w:t xml:space="preserve">The best hope is statutory rescission. If not, then it’s damage control, negotiation, or structured wind-down.</w:t>
      </w:r>
    </w:p>
    <w:p w:rsidR="00000000" w:rsidDel="00000000" w:rsidP="00000000" w:rsidRDefault="00000000" w:rsidRPr="00000000" w14:paraId="00000004">
      <w:pPr>
        <w:rPr/>
      </w:pPr>
      <w:r w:rsidDel="00000000" w:rsidR="00000000" w:rsidRPr="00000000">
        <w:rPr>
          <w:rtl w:val="0"/>
        </w:rPr>
        <w:t xml:space="preserve">The client can absolutely come out the other side of this—but not without tactical lawyering. If they’re serious about escaping the trap with minimal blood loss, you know where to send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franchise system is, at its core, an extraction machine.</w:t>
      </w:r>
    </w:p>
    <w:p w:rsidR="00000000" w:rsidDel="00000000" w:rsidP="00000000" w:rsidRDefault="00000000" w:rsidRPr="00000000" w14:paraId="00000009">
      <w:pPr>
        <w:spacing w:after="240" w:before="240" w:lineRule="auto"/>
        <w:rPr/>
      </w:pPr>
      <w:r w:rsidDel="00000000" w:rsidR="00000000" w:rsidRPr="00000000">
        <w:rPr>
          <w:rtl w:val="0"/>
        </w:rPr>
        <w:t xml:space="preserve">It’s not designed for shared risk.</w:t>
        <w:br w:type="textWrapping"/>
        <w:t xml:space="preserve"> It’s not designed for franchisee independence.</w:t>
        <w:br w:type="textWrapping"/>
        <w:t xml:space="preserve"> It is designed to extract predictable value—royalties, advertising fees, supplier margins—from a localized operator who shoulders nearly all the capital risk, operational stress, and personal liability.</w:t>
      </w:r>
    </w:p>
    <w:p w:rsidR="00000000" w:rsidDel="00000000" w:rsidP="00000000" w:rsidRDefault="00000000" w:rsidRPr="00000000" w14:paraId="0000000A">
      <w:pPr>
        <w:spacing w:after="240" w:before="240" w:lineRule="auto"/>
        <w:rPr/>
      </w:pPr>
      <w:r w:rsidDel="00000000" w:rsidR="00000000" w:rsidRPr="00000000">
        <w:rPr>
          <w:rtl w:val="0"/>
        </w:rPr>
        <w:t xml:space="preserve">When it works, it scales beautifully.</w:t>
        <w:br w:type="textWrapping"/>
        <w:t xml:space="preserve"> When it fails, it fails one unit at a time—quietly, privately, and at the franchisee’s expense."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That’s why every clause matters.</w:t>
        <w:br w:type="textWrapping"/>
        <w:t xml:space="preserve"> That’s why every exit needs to be controlled.</w:t>
        <w:br w:type="textWrapping"/>
        <w:t xml:space="preserve"> That’s why you call me.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