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7m90n8cdzh" w:id="0"/>
      <w:bookmarkEnd w:id="0"/>
      <w:r w:rsidDel="00000000" w:rsidR="00000000" w:rsidRPr="00000000">
        <w:rPr>
          <w:rtl w:val="0"/>
        </w:rPr>
        <w:t xml:space="preserve">2.c - exit - scenario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Rescission is gone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j7mndah2rvw7" w:id="1"/>
      <w:bookmarkEnd w:id="1"/>
      <w:r w:rsidDel="00000000" w:rsidR="00000000" w:rsidRPr="00000000">
        <w:rPr>
          <w:color w:val="353744"/>
          <w:sz w:val="34"/>
          <w:szCs w:val="34"/>
          <w:rtl w:val="0"/>
        </w:rPr>
        <w:t xml:space="preserve">1. Surviving Rights &amp; Leverage (Limited)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two years, YRL retains:</w:t>
      </w:r>
    </w:p>
    <w:p w:rsidR="00000000" w:rsidDel="00000000" w:rsidP="00000000" w:rsidRDefault="00000000" w:rsidRPr="00000000" w14:paraId="0000000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ldi8c5svylv" w:id="2"/>
      <w:bookmarkEnd w:id="2"/>
      <w:r w:rsidDel="00000000" w:rsidR="00000000" w:rsidRPr="00000000">
        <w:rPr>
          <w:b w:val="1"/>
          <w:bCs w:val="1"/>
          <w:rtl w:val="0"/>
        </w:rPr>
        <w:t xml:space="preserve">1. Statutory duty of fair dealing (s. 3)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Continues throughout the franchise relationship.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both franchisor and franchisee to act in </w:t>
      </w:r>
      <w:r w:rsidDel="00000000" w:rsidR="00000000" w:rsidRPr="00000000">
        <w:rPr>
          <w:i w:val="1"/>
          <w:iCs w:val="1"/>
          <w:rtl w:val="0"/>
        </w:rPr>
        <w:t xml:space="preserve">good faith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in accordance with reasonable commercial standards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 gives rise to damages (not rescission).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police arbitrary terminations, withheld renewals, or unequal treatment.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law: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Bhasin v. Hrynew</w:t>
      </w:r>
      <w:r w:rsidDel="00000000" w:rsidR="00000000" w:rsidRPr="00000000">
        <w:rPr>
          <w:rtl w:val="0"/>
        </w:rPr>
        <w:t xml:space="preserve">, 2014 SCC 71 — establishes good-faith performance doctrine.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Trillium Motor World Ltd. v. General Motors of Canada Ltd.</w:t>
      </w:r>
      <w:r w:rsidDel="00000000" w:rsidR="00000000" w:rsidRPr="00000000">
        <w:rPr>
          <w:rtl w:val="0"/>
        </w:rPr>
        <w:t xml:space="preserve">, 2017 ONCA 545 — franchise context; recognizes damages for unfair dealing even post-agreement.</w:t>
        <w:br w:type="textWrapping"/>
      </w:r>
    </w:p>
    <w:p w:rsidR="00000000" w:rsidDel="00000000" w:rsidP="00000000" w:rsidRDefault="00000000" w:rsidRPr="00000000" w14:paraId="0000000F">
      <w:pPr>
        <w:pStyle w:val="Heading3"/>
        <w:spacing w:after="80" w:before="280" w:line="312" w:lineRule="auto"/>
        <w:rPr>
          <w:b w:val="1"/>
          <w:bCs w:val="1"/>
          <w:strike w:val="1"/>
        </w:rPr>
      </w:pPr>
      <w:bookmarkStart w:colFirst="0" w:colLast="0" w:name="_11jzjq3egyke" w:id="3"/>
      <w:bookmarkEnd w:id="3"/>
      <w:r w:rsidDel="00000000" w:rsidR="00000000" w:rsidRPr="00000000">
        <w:rPr>
          <w:b w:val="1"/>
          <w:bCs w:val="1"/>
          <w:strike w:val="1"/>
          <w:rtl w:val="0"/>
        </w:rPr>
        <w:t xml:space="preserve">2. Right of association (s. 4)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YRL cannot be penalized for participating in franchisee groups or associations.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Retaliation for doing so is actionable.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pneh75rjkju" w:id="4"/>
      <w:bookmarkEnd w:id="4"/>
      <w:r w:rsidDel="00000000" w:rsidR="00000000" w:rsidRPr="00000000">
        <w:rPr>
          <w:b w:val="1"/>
          <w:bCs w:val="1"/>
          <w:rtl w:val="0"/>
        </w:rPr>
        <w:t xml:space="preserve">3. Contractual leverage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franchise agreements contain ongoing obligations on both sides (supply, advertising, support, territory, renewal).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franchisor’s breaches of those may still create actionable claims in contract or under s. 3 (fair dealing).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default and renewal clauses — they are often drafted asymmetrically but can be constrained by implied good faith.</w:t>
        <w:br w:type="textWrapping"/>
      </w:r>
    </w:p>
    <w:p w:rsidR="00000000" w:rsidDel="00000000" w:rsidP="00000000" w:rsidRDefault="00000000" w:rsidRPr="00000000" w14:paraId="0000001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lrzqn7igxa3" w:id="5"/>
      <w:bookmarkEnd w:id="5"/>
      <w:r w:rsidDel="00000000" w:rsidR="00000000" w:rsidRPr="00000000">
        <w:rPr>
          <w:b w:val="1"/>
          <w:bCs w:val="1"/>
          <w:rtl w:val="0"/>
        </w:rPr>
        <w:t xml:space="preserve">4. Common law doctrines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Misrepresentation or negligent misstatement</w:t>
      </w:r>
      <w:r w:rsidDel="00000000" w:rsidR="00000000" w:rsidRPr="00000000">
        <w:rPr>
          <w:rtl w:val="0"/>
        </w:rPr>
        <w:t xml:space="preserve"> (outside AWA rescission) if specific false statements induced investment, and limitation period not expired</w:t>
      </w:r>
      <w:r w:rsidDel="00000000" w:rsidR="00000000" w:rsidRPr="00000000">
        <w:rPr>
          <w:b w:val="1"/>
          <w:bCs w:val="1"/>
          <w:u w:val="single"/>
          <w:rtl w:val="0"/>
        </w:rPr>
        <w:t xml:space="preserve"> (2 years from discovery, 15 years ultimate under Limitations Act, 2002).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Unconscionability</w:t>
      </w:r>
      <w:r w:rsidDel="00000000" w:rsidR="00000000" w:rsidRPr="00000000">
        <w:rPr>
          <w:rtl w:val="0"/>
        </w:rPr>
        <w:t xml:space="preserve"> in enforcement of guarantees or penalties.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from forfeiture</w:t>
      </w:r>
      <w:r w:rsidDel="00000000" w:rsidR="00000000" w:rsidRPr="00000000">
        <w:rPr>
          <w:rtl w:val="0"/>
        </w:rPr>
        <w:t xml:space="preserve"> (Courts of Justice Act, s. 98) if termination for technical default is disproportionate.</w:t>
        <w:br w:type="textWrapping"/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0"/>
        <w:tblGridChange w:id="0">
          <w:tblGrid>
            <w:gridCol w:w="4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compliance with agreement; correct defaults; build documentation of good faith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0"/>
        <w:tblGridChange w:id="0">
          <w:tblGrid>
            <w:gridCol w:w="4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internal audit of royalties, reports, and correspondence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2b5rcius3yq" w:id="6"/>
      <w:bookmarkEnd w:id="6"/>
      <w:r w:rsidDel="00000000" w:rsidR="00000000" w:rsidRPr="00000000">
        <w:rPr>
          <w:color w:val="353744"/>
          <w:sz w:val="34"/>
          <w:szCs w:val="34"/>
          <w:rtl w:val="0"/>
        </w:rPr>
        <w:t xml:space="preserve">II. Tactical Focus for Lawyer — YRL Exit Phase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this stage, YRL’s interests fall into one or more of the following categories.</w:t>
        <w:br w:type="textWrapping"/>
        <w:t xml:space="preserve"> Counsel’s mandate: </w:t>
      </w:r>
      <w:r w:rsidDel="00000000" w:rsidR="00000000" w:rsidRPr="00000000">
        <w:rPr>
          <w:b w:val="1"/>
          <w:bCs w:val="1"/>
          <w:rtl w:val="0"/>
        </w:rPr>
        <w:t xml:space="preserve">control tempo, contain exposure, and convert exit pressure into structured process.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7644305772233"/>
        <w:gridCol w:w="3407.176287051482"/>
        <w:gridCol w:w="3962.059282371295"/>
        <w:tblGridChange w:id="0">
          <w:tblGrid>
            <w:gridCol w:w="1990.7644305772233"/>
            <w:gridCol w:w="3407.176287051482"/>
            <w:gridCol w:w="3962.05928237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Counsel Tactic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Franchise Agreement (assignment / termination provisions)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Arthur Wishart Act s. 3 – duty of fair dealing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Review all renewal, termination, and assignment clauses to confirm formal consent requirements and notice periods.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Design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consent-to-assign or mutual-termination process</w:t>
            </w:r>
            <w:r w:rsidDel="00000000" w:rsidR="00000000" w:rsidRPr="00000000">
              <w:rPr>
                <w:rtl w:val="0"/>
              </w:rPr>
              <w:t xml:space="preserve"> that presents the exit as orderly and cooperative.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Frame all correspondence as compliance-oriented (“transition planning”) rather than adversarial (“termination”).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 for exit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• Franchise Agreement (renewal &amp; transfer terms)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Common-law duty of good faith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Bhasin v Hrynew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• Map contractual timelines for renewal, transfer, and notice.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• Use those periods to gain time for negotiation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• Negotiate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release of YRL and family guarantees</w:t>
            </w:r>
            <w:r w:rsidDel="00000000" w:rsidR="00000000" w:rsidRPr="00000000">
              <w:rPr>
                <w:rtl w:val="0"/>
              </w:rPr>
              <w:t xml:space="preserve"> as condition of transfer.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damages or leverage claim (if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Arthur Wishart Act ss. 3 &amp; 6 (fair dealing / rescission rights, if still open)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Common-law misrepresentation / negligent misstatement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Catalogue every franchisor act that may constitute bad faith or arbitrary enforcement (supply issues, pricing, lack of support).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Collect contemporaneous correspondence, inspection reports, and financial data.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Preserve evidence of disclosure deficiencies in case the two-year window is later found to remain open.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 personal guarantors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• Guarantee and indemnity agreements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Equitable doctrines (unconscionability;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Courts of Justice Act</w:t>
            </w:r>
            <w:r w:rsidDel="00000000" w:rsidR="00000000" w:rsidRPr="00000000">
              <w:rPr>
                <w:rtl w:val="0"/>
              </w:rPr>
              <w:t xml:space="preserve"> s. 98 – relief from forfeiture)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• Inventory every personal guarantee and cross-default.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During negotiations, demand written releases as part of any exit or assignment package.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If enforcement threatened, argue disproportionate hardship or seek court relief to limit recovery.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• Keep personal and corporate assets fully segregated pending release.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mg8t9wdoo7ga" w:id="7"/>
      <w:bookmarkEnd w:id="7"/>
      <w:r w:rsidDel="00000000" w:rsidR="00000000" w:rsidRPr="00000000">
        <w:rPr>
          <w:color w:val="353744"/>
          <w:sz w:val="34"/>
          <w:szCs w:val="34"/>
          <w:rtl w:val="0"/>
        </w:rPr>
        <w:t xml:space="preserve">III. Immediate Work Program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recovery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Franchise Agreement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amendments, renewals, notices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Disclosure document (if any) and delivery cover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Correspondence re: defaults, support, advertising fund, pricing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reconstruction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Signing, payments, openings, disputes.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to limitation analysis for any surviving claims.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audit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Term, renewal rights, termination grounds, transfer clauses.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leverage points (e.g., franchisor non-performance).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mapping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Royalties, ad fund contributions, rebates — check for overcharges or inconsistent application across franchisees.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erbpbex2qvm1" w:id="8"/>
      <w:bookmarkEnd w:id="8"/>
      <w:r w:rsidDel="00000000" w:rsidR="00000000" w:rsidRPr="00000000">
        <w:rPr>
          <w:color w:val="353744"/>
          <w:sz w:val="34"/>
          <w:szCs w:val="34"/>
          <w:rtl w:val="0"/>
        </w:rPr>
        <w:t xml:space="preserve">V. Strategic Frame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YRL is no longer in a rescission fight; it’s in a </w:t>
      </w:r>
      <w:r w:rsidDel="00000000" w:rsidR="00000000" w:rsidRPr="00000000">
        <w:rPr>
          <w:b w:val="1"/>
          <w:bCs w:val="1"/>
          <w:rtl w:val="0"/>
        </w:rPr>
        <w:t xml:space="preserve">power management phase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operational compliance (avoid easy termination).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evidentiary record of good faith performance.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franchisor deviations or bad faith.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either negotiation (renewal/exit) or defensive litigation (termination or debt claim).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