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h7m90n8cdzh" w:id="0"/>
      <w:bookmarkEnd w:id="0"/>
      <w:r w:rsidDel="00000000" w:rsidR="00000000" w:rsidRPr="00000000">
        <w:rPr>
          <w:rtl w:val="0"/>
        </w:rPr>
        <w:t xml:space="preserve">2.c - exit - scenario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Rescission is gone </w:t>
      </w:r>
    </w:p>
    <w:p w:rsidR="00000000" w:rsidDel="00000000" w:rsidP="00000000" w:rsidRDefault="00000000" w:rsidRPr="00000000" w14:paraId="00000004">
      <w:pPr>
        <w:pStyle w:val="Heading2"/>
        <w:spacing w:after="80" w:before="360" w:line="312" w:lineRule="auto"/>
        <w:rPr>
          <w:color w:val="353744"/>
          <w:sz w:val="34"/>
          <w:szCs w:val="34"/>
        </w:rPr>
      </w:pPr>
      <w:bookmarkStart w:colFirst="0" w:colLast="0" w:name="_ss2752rfwe4w" w:id="1"/>
      <w:bookmarkEnd w:id="1"/>
      <w:r w:rsidDel="00000000" w:rsidR="00000000" w:rsidRPr="00000000">
        <w:rPr>
          <w:color w:val="353744"/>
          <w:sz w:val="34"/>
          <w:szCs w:val="34"/>
          <w:rtl w:val="0"/>
        </w:rPr>
        <w:t xml:space="preserve">Tactical Focus for Lawyer — Distress Exit  </w:t>
      </w:r>
    </w:p>
    <w:p w:rsidR="00000000" w:rsidDel="00000000" w:rsidP="00000000" w:rsidRDefault="00000000" w:rsidRPr="00000000" w14:paraId="00000005">
      <w:pPr>
        <w:spacing w:after="240" w:before="240" w:lineRule="auto"/>
        <w:rPr>
          <w:i w:val="1"/>
          <w:iCs w:val="1"/>
        </w:rPr>
      </w:pPr>
      <w:r w:rsidDel="00000000" w:rsidR="00000000" w:rsidRPr="00000000">
        <w:rPr>
          <w:i w:val="1"/>
          <w:iCs w:val="1"/>
          <w:rtl w:val="0"/>
        </w:rPr>
        <w:t xml:space="preserve">(Applicable to any franchisee trying to shut down and survive)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1.3884555382215"/>
        <w:gridCol w:w="2866.895475819033"/>
        <w:gridCol w:w="4341.716068642746"/>
        <w:tblGridChange w:id="0">
          <w:tblGrid>
            <w:gridCol w:w="2151.3884555382215"/>
            <w:gridCol w:w="2866.895475819033"/>
            <w:gridCol w:w="4341.71606864274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Objective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Legal Mechanism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Counsel Tactic</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Contain the collapse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Franchise Agreement; Sublease; AWA s. 3 (fair dealing)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 Stop operational bleeding — freeze discretionary payments.</w:t>
            </w:r>
          </w:p>
          <w:p w:rsidR="00000000" w:rsidDel="00000000" w:rsidP="00000000" w:rsidRDefault="00000000" w:rsidRPr="00000000" w14:paraId="0000000C">
            <w:pPr>
              <w:rPr/>
            </w:pPr>
            <w:r w:rsidDel="00000000" w:rsidR="00000000" w:rsidRPr="00000000">
              <w:rPr>
                <w:rtl w:val="0"/>
              </w:rPr>
              <w:t xml:space="preserve">• Notify franchisor of “financial distress review,” not abandonment.</w:t>
            </w:r>
          </w:p>
          <w:p w:rsidR="00000000" w:rsidDel="00000000" w:rsidP="00000000" w:rsidRDefault="00000000" w:rsidRPr="00000000" w14:paraId="0000000D">
            <w:pPr>
              <w:rPr/>
            </w:pPr>
            <w:r w:rsidDel="00000000" w:rsidR="00000000" w:rsidRPr="00000000">
              <w:rPr>
                <w:rtl w:val="0"/>
              </w:rPr>
              <w:t xml:space="preserve">• Request discussion of “orderly transition” rather than “termination.”</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Trigger or negotiate controlled termination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Franchise Agreement termination and surrender provisions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 Identify whether voluntary surrender or mutual termination is permitted.</w:t>
            </w:r>
          </w:p>
          <w:p w:rsidR="00000000" w:rsidDel="00000000" w:rsidP="00000000" w:rsidRDefault="00000000" w:rsidRPr="00000000" w14:paraId="00000011">
            <w:pPr>
              <w:rPr/>
            </w:pPr>
            <w:r w:rsidDel="00000000" w:rsidR="00000000" w:rsidRPr="00000000">
              <w:rPr>
                <w:rtl w:val="0"/>
              </w:rPr>
              <w:t xml:space="preserve">• Offer peaceful turnover of premises and equipment in exchange for limited release.</w:t>
            </w:r>
          </w:p>
          <w:p w:rsidR="00000000" w:rsidDel="00000000" w:rsidP="00000000" w:rsidRDefault="00000000" w:rsidRPr="00000000" w14:paraId="00000012">
            <w:pPr>
              <w:rPr/>
            </w:pPr>
            <w:r w:rsidDel="00000000" w:rsidR="00000000" w:rsidRPr="00000000">
              <w:rPr>
                <w:rtl w:val="0"/>
              </w:rPr>
              <w:t xml:space="preserve">• Avoid unilateral shutdown without correspondence — it converts a controlled exit into default.</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Reduce personal exposure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Guarantee terms; equitable relief doctrines; unconscionability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 Negotiate written release of guarantors as part of any termination.</w:t>
            </w:r>
          </w:p>
          <w:p w:rsidR="00000000" w:rsidDel="00000000" w:rsidP="00000000" w:rsidRDefault="00000000" w:rsidRPr="00000000" w14:paraId="00000016">
            <w:pPr>
              <w:rPr/>
            </w:pPr>
            <w:r w:rsidDel="00000000" w:rsidR="00000000" w:rsidRPr="00000000">
              <w:rPr>
                <w:rtl w:val="0"/>
              </w:rPr>
              <w:t xml:space="preserve">• If franchisor pursues guarantors, argue disproportionate enforcement and seek </w:t>
            </w:r>
            <w:r w:rsidDel="00000000" w:rsidR="00000000" w:rsidRPr="00000000">
              <w:rPr>
                <w:b w:val="1"/>
                <w:bCs w:val="1"/>
                <w:rtl w:val="0"/>
              </w:rPr>
              <w:t xml:space="preserve">relief from forfeiture</w:t>
            </w:r>
            <w:r w:rsidDel="00000000" w:rsidR="00000000" w:rsidRPr="00000000">
              <w:rPr>
                <w:rtl w:val="0"/>
              </w:rPr>
              <w:t xml:space="preserve"> (Courts of Justice Act s. 98).</w:t>
            </w:r>
          </w:p>
          <w:p w:rsidR="00000000" w:rsidDel="00000000" w:rsidP="00000000" w:rsidRDefault="00000000" w:rsidRPr="00000000" w14:paraId="00000017">
            <w:pPr>
              <w:rPr/>
            </w:pPr>
            <w:r w:rsidDel="00000000" w:rsidR="00000000" w:rsidRPr="00000000">
              <w:rPr>
                <w:rtl w:val="0"/>
              </w:rPr>
              <w:t xml:space="preserve">• Preserve all hardship evidence — illness, losses, franchisor support failures.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Preserve statutory leverage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AWA ss. 3, 6 (fair dealing / rescission)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 Do not concede expiry of rescission rights — if less than two years may have passed, preserve that argument.</w:t>
            </w:r>
          </w:p>
          <w:p w:rsidR="00000000" w:rsidDel="00000000" w:rsidP="00000000" w:rsidRDefault="00000000" w:rsidRPr="00000000" w14:paraId="0000001B">
            <w:pPr>
              <w:rPr/>
            </w:pPr>
            <w:r w:rsidDel="00000000" w:rsidR="00000000" w:rsidRPr="00000000">
              <w:rPr>
                <w:rtl w:val="0"/>
              </w:rPr>
              <w:t xml:space="preserve">• Catalogue disclosure deficiencies for potential set-off or negotiation leverage.</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Protect personal and corporate assets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Business Corporations Act; common law of veil separation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 Keep all personal assets segregated.</w:t>
            </w:r>
          </w:p>
          <w:p w:rsidR="00000000" w:rsidDel="00000000" w:rsidP="00000000" w:rsidRDefault="00000000" w:rsidRPr="00000000" w14:paraId="0000001F">
            <w:pPr>
              <w:rPr/>
            </w:pPr>
            <w:r w:rsidDel="00000000" w:rsidR="00000000" w:rsidRPr="00000000">
              <w:rPr>
                <w:rtl w:val="0"/>
              </w:rPr>
              <w:t xml:space="preserve">• Avoid fresh guarantees or reaffirmations.</w:t>
            </w:r>
          </w:p>
          <w:p w:rsidR="00000000" w:rsidDel="00000000" w:rsidP="00000000" w:rsidRDefault="00000000" w:rsidRPr="00000000" w14:paraId="00000020">
            <w:pPr>
              <w:rPr/>
            </w:pPr>
            <w:r w:rsidDel="00000000" w:rsidR="00000000" w:rsidRPr="00000000">
              <w:rPr>
                <w:rtl w:val="0"/>
              </w:rPr>
              <w:t xml:space="preserve">• Winding down: leave corporation dormant until liabilities quantified; dissolve only after exposure clarified.</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Maintain optics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AWA s. 3 (good faith); common-law duty of fair dealing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 Every message to franchisor must read as cooperative: “We’re working toward a responsible transition.”</w:t>
            </w:r>
          </w:p>
          <w:p w:rsidR="00000000" w:rsidDel="00000000" w:rsidP="00000000" w:rsidRDefault="00000000" w:rsidRPr="00000000" w14:paraId="00000024">
            <w:pPr>
              <w:rPr/>
            </w:pPr>
            <w:r w:rsidDel="00000000" w:rsidR="00000000" w:rsidRPr="00000000">
              <w:rPr>
                <w:rtl w:val="0"/>
              </w:rPr>
              <w:t xml:space="preserve">• Internally, document everything — financial records, emails, and attempts to resolve.</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spacing w:after="80" w:before="360" w:line="312" w:lineRule="auto"/>
        <w:rPr>
          <w:color w:val="353744"/>
          <w:sz w:val="34"/>
          <w:szCs w:val="34"/>
        </w:rPr>
      </w:pPr>
      <w:bookmarkStart w:colFirst="0" w:colLast="0" w:name="_e1zwnzgp088b" w:id="2"/>
      <w:bookmarkEnd w:id="2"/>
      <w:r w:rsidDel="00000000" w:rsidR="00000000" w:rsidRPr="00000000">
        <w:rPr>
          <w:color w:val="353744"/>
          <w:sz w:val="34"/>
          <w:szCs w:val="34"/>
          <w:rtl w:val="0"/>
        </w:rPr>
        <w:t xml:space="preserve">Application to YRL (Kishmish Inc.)</w:t>
      </w:r>
    </w:p>
    <w:p w:rsidR="00000000" w:rsidDel="00000000" w:rsidP="00000000" w:rsidRDefault="00000000" w:rsidRPr="00000000" w14:paraId="00000028">
      <w:pPr>
        <w:spacing w:after="240" w:before="240" w:lineRule="auto"/>
        <w:rPr/>
      </w:pPr>
      <w:r w:rsidDel="00000000" w:rsidR="00000000" w:rsidRPr="00000000">
        <w:rPr>
          <w:rtl w:val="0"/>
        </w:rPr>
        <w:t xml:space="preserve">YRL’s setup creates </w:t>
      </w:r>
      <w:r w:rsidDel="00000000" w:rsidR="00000000" w:rsidRPr="00000000">
        <w:rPr>
          <w:b w:val="1"/>
          <w:bCs w:val="1"/>
          <w:rtl w:val="0"/>
        </w:rPr>
        <w:t xml:space="preserve">three live fronts</w:t>
      </w:r>
      <w:r w:rsidDel="00000000" w:rsidR="00000000" w:rsidRPr="00000000">
        <w:rPr>
          <w:rtl w:val="0"/>
        </w:rPr>
        <w:t xml:space="preserve"> — Sublease, Franchise Agreement, and Personal Guarantees — all cross-linked.</w:t>
        <w:br w:type="textWrapping"/>
        <w:t xml:space="preserve"> The task is to collapse operations without triggering cascading personal liability.</w:t>
      </w:r>
    </w:p>
    <w:p w:rsidR="00000000" w:rsidDel="00000000" w:rsidP="00000000" w:rsidRDefault="00000000" w:rsidRPr="00000000" w14:paraId="00000029">
      <w:pPr>
        <w:pStyle w:val="Heading3"/>
        <w:spacing w:after="80" w:before="280" w:line="312" w:lineRule="auto"/>
        <w:rPr>
          <w:b w:val="1"/>
          <w:bCs w:val="1"/>
        </w:rPr>
      </w:pPr>
      <w:bookmarkStart w:colFirst="0" w:colLast="0" w:name="_iu2cq2785hhb" w:id="3"/>
      <w:bookmarkEnd w:id="3"/>
      <w:r w:rsidDel="00000000" w:rsidR="00000000" w:rsidRPr="00000000">
        <w:rPr>
          <w:b w:val="1"/>
          <w:bCs w:val="1"/>
          <w:rtl w:val="0"/>
        </w:rPr>
        <w:t xml:space="preserve">1. Sublease</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rtl w:val="0"/>
        </w:rPr>
        <w:t xml:space="preserve">The Sublease automatically terminates if the </w:t>
      </w:r>
      <w:r w:rsidDel="00000000" w:rsidR="00000000" w:rsidRPr="00000000">
        <w:rPr>
          <w:b w:val="1"/>
          <w:bCs w:val="1"/>
          <w:rtl w:val="0"/>
        </w:rPr>
        <w:t xml:space="preserve">Franchise Agreement</w:t>
      </w:r>
      <w:r w:rsidDel="00000000" w:rsidR="00000000" w:rsidRPr="00000000">
        <w:rPr>
          <w:rtl w:val="0"/>
        </w:rPr>
        <w:t xml:space="preserve"> ends (s. 9).</w:t>
        <w:br w:type="textWrapping"/>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That linkage is actually </w:t>
      </w:r>
      <w:r w:rsidDel="00000000" w:rsidR="00000000" w:rsidRPr="00000000">
        <w:rPr>
          <w:i w:val="1"/>
          <w:iCs w:val="1"/>
          <w:rtl w:val="0"/>
        </w:rPr>
        <w:t xml:space="preserve">helpful</w:t>
      </w:r>
      <w:r w:rsidDel="00000000" w:rsidR="00000000" w:rsidRPr="00000000">
        <w:rPr>
          <w:rtl w:val="0"/>
        </w:rPr>
        <w:t xml:space="preserve"> — one termination closes both channels.</w:t>
        <w:br w:type="textWrapping"/>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Strategy:</w:t>
        <w:br w:type="textWrapping"/>
      </w:r>
    </w:p>
    <w:p w:rsidR="00000000" w:rsidDel="00000000" w:rsidP="00000000" w:rsidRDefault="00000000" w:rsidRPr="00000000" w14:paraId="0000002D">
      <w:pPr>
        <w:numPr>
          <w:ilvl w:val="1"/>
          <w:numId w:val="1"/>
        </w:numPr>
        <w:spacing w:after="0" w:afterAutospacing="0" w:before="0" w:beforeAutospacing="0" w:lineRule="auto"/>
        <w:ind w:left="1440" w:hanging="360"/>
      </w:pPr>
      <w:r w:rsidDel="00000000" w:rsidR="00000000" w:rsidRPr="00000000">
        <w:rPr>
          <w:rtl w:val="0"/>
        </w:rPr>
        <w:t xml:space="preserve">Seek a </w:t>
      </w:r>
      <w:r w:rsidDel="00000000" w:rsidR="00000000" w:rsidRPr="00000000">
        <w:rPr>
          <w:b w:val="1"/>
          <w:bCs w:val="1"/>
          <w:rtl w:val="0"/>
        </w:rPr>
        <w:t xml:space="preserve">mutual termination</w:t>
      </w:r>
      <w:r w:rsidDel="00000000" w:rsidR="00000000" w:rsidRPr="00000000">
        <w:rPr>
          <w:rtl w:val="0"/>
        </w:rPr>
        <w:t xml:space="preserve"> with the franchisor/sublandlord, surrendering possession in good order.</w:t>
        <w:br w:type="textWrapping"/>
      </w:r>
    </w:p>
    <w:p w:rsidR="00000000" w:rsidDel="00000000" w:rsidP="00000000" w:rsidRDefault="00000000" w:rsidRPr="00000000" w14:paraId="0000002E">
      <w:pPr>
        <w:numPr>
          <w:ilvl w:val="1"/>
          <w:numId w:val="1"/>
        </w:numPr>
        <w:spacing w:after="0" w:afterAutospacing="0" w:before="0" w:beforeAutospacing="0" w:lineRule="auto"/>
        <w:ind w:left="1440" w:hanging="360"/>
      </w:pPr>
      <w:r w:rsidDel="00000000" w:rsidR="00000000" w:rsidRPr="00000000">
        <w:rPr>
          <w:rtl w:val="0"/>
        </w:rPr>
        <w:t xml:space="preserve">Condition: </w:t>
      </w:r>
      <w:r w:rsidDel="00000000" w:rsidR="00000000" w:rsidRPr="00000000">
        <w:rPr>
          <w:i w:val="1"/>
          <w:iCs w:val="1"/>
          <w:rtl w:val="0"/>
        </w:rPr>
        <w:t xml:space="preserve">no rent acceleration, no continuing liability beyond possession date.</w:t>
        <w:br w:type="textWrapping"/>
      </w:r>
    </w:p>
    <w:p w:rsidR="00000000" w:rsidDel="00000000" w:rsidP="00000000" w:rsidRDefault="00000000" w:rsidRPr="00000000" w14:paraId="0000002F">
      <w:pPr>
        <w:numPr>
          <w:ilvl w:val="1"/>
          <w:numId w:val="1"/>
        </w:numPr>
        <w:spacing w:after="240" w:before="0" w:beforeAutospacing="0" w:lineRule="auto"/>
        <w:ind w:left="1440" w:hanging="360"/>
      </w:pPr>
      <w:r w:rsidDel="00000000" w:rsidR="00000000" w:rsidRPr="00000000">
        <w:rPr>
          <w:rtl w:val="0"/>
        </w:rPr>
        <w:t xml:space="preserve">Deliver keys and possession formally; record turnover with dated acknowledgment.</w:t>
        <w:br w:type="textWrapping"/>
      </w:r>
    </w:p>
    <w:p w:rsidR="00000000" w:rsidDel="00000000" w:rsidP="00000000" w:rsidRDefault="00000000" w:rsidRPr="00000000" w14:paraId="00000030">
      <w:pPr>
        <w:pStyle w:val="Heading3"/>
        <w:spacing w:after="80" w:before="280" w:line="312" w:lineRule="auto"/>
        <w:rPr>
          <w:b w:val="1"/>
          <w:bCs w:val="1"/>
        </w:rPr>
      </w:pPr>
      <w:bookmarkStart w:colFirst="0" w:colLast="0" w:name="_xolmfoeuwgye" w:id="4"/>
      <w:bookmarkEnd w:id="4"/>
      <w:r w:rsidDel="00000000" w:rsidR="00000000" w:rsidRPr="00000000">
        <w:rPr>
          <w:b w:val="1"/>
          <w:bCs w:val="1"/>
          <w:rtl w:val="0"/>
        </w:rPr>
        <w:t xml:space="preserve">2. Franchise Agreement</w:t>
      </w:r>
    </w:p>
    <w:p w:rsidR="00000000" w:rsidDel="00000000" w:rsidP="00000000" w:rsidRDefault="00000000" w:rsidRPr="00000000" w14:paraId="00000031">
      <w:pPr>
        <w:numPr>
          <w:ilvl w:val="0"/>
          <w:numId w:val="5"/>
        </w:numPr>
        <w:spacing w:after="0" w:afterAutospacing="0" w:before="240" w:lineRule="auto"/>
        <w:ind w:left="720" w:hanging="360"/>
      </w:pPr>
      <w:r w:rsidDel="00000000" w:rsidR="00000000" w:rsidRPr="00000000">
        <w:rPr>
          <w:rtl w:val="0"/>
        </w:rPr>
        <w:t xml:space="preserve">Unless you negotiate otherwise, shutting down constitutes default.</w:t>
        <w:br w:type="textWrapping"/>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Franchisor can pursue Kishmish for unpaid royalties, liquidated damages, and de-branding costs.</w:t>
        <w:br w:type="textWrapping"/>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Strategy:</w:t>
        <w:br w:type="textWrapping"/>
      </w:r>
    </w:p>
    <w:p w:rsidR="00000000" w:rsidDel="00000000" w:rsidP="00000000" w:rsidRDefault="00000000" w:rsidRPr="00000000" w14:paraId="00000034">
      <w:pPr>
        <w:numPr>
          <w:ilvl w:val="1"/>
          <w:numId w:val="5"/>
        </w:numPr>
        <w:spacing w:after="0" w:afterAutospacing="0" w:before="0" w:beforeAutospacing="0" w:lineRule="auto"/>
        <w:ind w:left="1440" w:hanging="360"/>
      </w:pPr>
      <w:r w:rsidDel="00000000" w:rsidR="00000000" w:rsidRPr="00000000">
        <w:rPr>
          <w:b w:val="1"/>
          <w:bCs w:val="1"/>
          <w:rtl w:val="0"/>
        </w:rPr>
        <w:t xml:space="preserve">Control the narrative:</w:t>
      </w:r>
      <w:r w:rsidDel="00000000" w:rsidR="00000000" w:rsidRPr="00000000">
        <w:rPr>
          <w:rtl w:val="0"/>
        </w:rPr>
        <w:t xml:space="preserve"> communicate “business failure” and willingness to cooperate in an orderly transition.</w:t>
        <w:br w:type="textWrapping"/>
      </w:r>
    </w:p>
    <w:p w:rsidR="00000000" w:rsidDel="00000000" w:rsidP="00000000" w:rsidRDefault="00000000" w:rsidRPr="00000000" w14:paraId="00000035">
      <w:pPr>
        <w:numPr>
          <w:ilvl w:val="1"/>
          <w:numId w:val="5"/>
        </w:numPr>
        <w:spacing w:after="0" w:afterAutospacing="0" w:before="0" w:beforeAutospacing="0" w:lineRule="auto"/>
        <w:ind w:left="1440" w:hanging="360"/>
      </w:pPr>
      <w:r w:rsidDel="00000000" w:rsidR="00000000" w:rsidRPr="00000000">
        <w:rPr>
          <w:rtl w:val="0"/>
        </w:rPr>
        <w:t xml:space="preserve">Request a </w:t>
      </w:r>
      <w:r w:rsidDel="00000000" w:rsidR="00000000" w:rsidRPr="00000000">
        <w:rPr>
          <w:b w:val="1"/>
          <w:bCs w:val="1"/>
          <w:rtl w:val="0"/>
        </w:rPr>
        <w:t xml:space="preserve">release agreement</w:t>
      </w:r>
      <w:r w:rsidDel="00000000" w:rsidR="00000000" w:rsidRPr="00000000">
        <w:rPr>
          <w:rtl w:val="0"/>
        </w:rPr>
        <w:t xml:space="preserve">: franchisor takes possession of location, equipment, and IP, and releases Kishmish and guarantors from further liability.</w:t>
        <w:br w:type="textWrapping"/>
      </w:r>
    </w:p>
    <w:p w:rsidR="00000000" w:rsidDel="00000000" w:rsidP="00000000" w:rsidRDefault="00000000" w:rsidRPr="00000000" w14:paraId="00000036">
      <w:pPr>
        <w:numPr>
          <w:ilvl w:val="1"/>
          <w:numId w:val="5"/>
        </w:numPr>
        <w:spacing w:after="240" w:before="0" w:beforeAutospacing="0" w:lineRule="auto"/>
        <w:ind w:left="1440" w:hanging="360"/>
      </w:pPr>
      <w:r w:rsidDel="00000000" w:rsidR="00000000" w:rsidRPr="00000000">
        <w:rPr>
          <w:rtl w:val="0"/>
        </w:rPr>
        <w:t xml:space="preserve">If refused, maintain written record of YRL’s good-faith conduct — essential for any equitable relief later.</w:t>
        <w:br w:type="textWrapping"/>
      </w:r>
    </w:p>
    <w:p w:rsidR="00000000" w:rsidDel="00000000" w:rsidP="00000000" w:rsidRDefault="00000000" w:rsidRPr="00000000" w14:paraId="00000037">
      <w:pPr>
        <w:pStyle w:val="Heading3"/>
        <w:spacing w:after="80" w:before="280" w:line="312" w:lineRule="auto"/>
        <w:rPr>
          <w:b w:val="1"/>
          <w:bCs w:val="1"/>
        </w:rPr>
      </w:pPr>
      <w:bookmarkStart w:colFirst="0" w:colLast="0" w:name="_koxns7mc7k1g" w:id="5"/>
      <w:bookmarkEnd w:id="5"/>
      <w:r w:rsidDel="00000000" w:rsidR="00000000" w:rsidRPr="00000000">
        <w:rPr>
          <w:b w:val="1"/>
          <w:bCs w:val="1"/>
          <w:rtl w:val="0"/>
        </w:rPr>
        <w:t xml:space="preserve">3. Guarantee</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rtl w:val="0"/>
        </w:rPr>
        <w:t xml:space="preserve">Absolute and continuing; only a written release ends it.</w:t>
        <w:br w:type="textWrapping"/>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If franchisor threatens enforcement:</w:t>
        <w:br w:type="textWrapping"/>
      </w:r>
    </w:p>
    <w:p w:rsidR="00000000" w:rsidDel="00000000" w:rsidP="00000000" w:rsidRDefault="00000000" w:rsidRPr="00000000" w14:paraId="0000003A">
      <w:pPr>
        <w:numPr>
          <w:ilvl w:val="1"/>
          <w:numId w:val="3"/>
        </w:numPr>
        <w:spacing w:after="0" w:afterAutospacing="0" w:before="0" w:beforeAutospacing="0" w:lineRule="auto"/>
        <w:ind w:left="1440" w:hanging="360"/>
      </w:pPr>
      <w:r w:rsidDel="00000000" w:rsidR="00000000" w:rsidRPr="00000000">
        <w:rPr>
          <w:rtl w:val="0"/>
        </w:rPr>
        <w:t xml:space="preserve">Emphasize good-faith cooperation and financial inability, not willful breach.</w:t>
        <w:br w:type="textWrapping"/>
      </w:r>
    </w:p>
    <w:p w:rsidR="00000000" w:rsidDel="00000000" w:rsidP="00000000" w:rsidRDefault="00000000" w:rsidRPr="00000000" w14:paraId="0000003B">
      <w:pPr>
        <w:numPr>
          <w:ilvl w:val="1"/>
          <w:numId w:val="3"/>
        </w:numPr>
        <w:spacing w:after="0" w:afterAutospacing="0" w:before="0" w:beforeAutospacing="0" w:lineRule="auto"/>
        <w:ind w:left="1440" w:hanging="360"/>
      </w:pPr>
      <w:r w:rsidDel="00000000" w:rsidR="00000000" w:rsidRPr="00000000">
        <w:rPr>
          <w:rtl w:val="0"/>
        </w:rPr>
        <w:t xml:space="preserve">Offer modest settlement for “walk-away” (a nuisance-value payment).</w:t>
        <w:br w:type="textWrapping"/>
      </w:r>
    </w:p>
    <w:p w:rsidR="00000000" w:rsidDel="00000000" w:rsidP="00000000" w:rsidRDefault="00000000" w:rsidRPr="00000000" w14:paraId="0000003C">
      <w:pPr>
        <w:numPr>
          <w:ilvl w:val="1"/>
          <w:numId w:val="3"/>
        </w:numPr>
        <w:spacing w:after="0" w:afterAutospacing="0" w:before="0" w:beforeAutospacing="0" w:lineRule="auto"/>
        <w:ind w:left="1440" w:hanging="360"/>
      </w:pPr>
      <w:r w:rsidDel="00000000" w:rsidR="00000000" w:rsidRPr="00000000">
        <w:rPr>
          <w:rtl w:val="0"/>
        </w:rPr>
        <w:t xml:space="preserve">If pressed, prepare to argue </w:t>
      </w:r>
      <w:r w:rsidDel="00000000" w:rsidR="00000000" w:rsidRPr="00000000">
        <w:rPr>
          <w:b w:val="1"/>
          <w:bCs w:val="1"/>
          <w:rtl w:val="0"/>
        </w:rPr>
        <w:t xml:space="preserve">unconscionability</w:t>
      </w:r>
      <w:r w:rsidDel="00000000" w:rsidR="00000000" w:rsidRPr="00000000">
        <w:rPr>
          <w:rtl w:val="0"/>
        </w:rPr>
        <w:t xml:space="preserve"> or </w:t>
      </w:r>
      <w:r w:rsidDel="00000000" w:rsidR="00000000" w:rsidRPr="00000000">
        <w:rPr>
          <w:b w:val="1"/>
          <w:bCs w:val="1"/>
          <w:rtl w:val="0"/>
        </w:rPr>
        <w:t xml:space="preserve">relief from forfeiture</w:t>
      </w:r>
      <w:r w:rsidDel="00000000" w:rsidR="00000000" w:rsidRPr="00000000">
        <w:rPr>
          <w:rtl w:val="0"/>
        </w:rPr>
        <w:t xml:space="preserve">: the guarantors’ loss far exceeds any benefit received, and they acted in good faith.</w:t>
        <w:br w:type="textWrapping"/>
      </w:r>
    </w:p>
    <w:p w:rsidR="00000000" w:rsidDel="00000000" w:rsidP="00000000" w:rsidRDefault="00000000" w:rsidRPr="00000000" w14:paraId="0000003D">
      <w:pPr>
        <w:numPr>
          <w:ilvl w:val="0"/>
          <w:numId w:val="3"/>
        </w:numPr>
        <w:spacing w:after="0" w:afterAutospacing="0" w:before="0" w:beforeAutospacing="0" w:lineRule="auto"/>
        <w:ind w:left="720" w:hanging="360"/>
        <w:rPr>
          <w:u w:val="none"/>
        </w:rPr>
      </w:pPr>
      <w:r w:rsidDel="00000000" w:rsidR="00000000" w:rsidRPr="00000000">
        <w:rPr>
          <w:rtl w:val="0"/>
        </w:rPr>
        <w:t xml:space="preserve">Release</w:t>
      </w:r>
    </w:p>
    <w:p w:rsidR="00000000" w:rsidDel="00000000" w:rsidP="00000000" w:rsidRDefault="00000000" w:rsidRPr="00000000" w14:paraId="0000003E">
      <w:pPr>
        <w:numPr>
          <w:ilvl w:val="0"/>
          <w:numId w:val="3"/>
        </w:numPr>
        <w:spacing w:after="0" w:afterAutospacing="0" w:before="0" w:beforeAutospacing="0" w:lineRule="auto"/>
        <w:ind w:left="720" w:hanging="360"/>
        <w:rPr>
          <w:u w:val="none"/>
        </w:rPr>
      </w:pPr>
      <w:r w:rsidDel="00000000" w:rsidR="00000000" w:rsidRPr="00000000">
        <w:rPr>
          <w:rtl w:val="0"/>
        </w:rPr>
        <w:t xml:space="preserve">Release of Guarantors</w:t>
      </w:r>
    </w:p>
    <w:p w:rsidR="00000000" w:rsidDel="00000000" w:rsidP="00000000" w:rsidRDefault="00000000" w:rsidRPr="00000000" w14:paraId="0000003F">
      <w:pPr>
        <w:numPr>
          <w:ilvl w:val="0"/>
          <w:numId w:val="3"/>
        </w:numPr>
        <w:spacing w:after="240" w:before="0" w:beforeAutospacing="0" w:lineRule="auto"/>
        <w:ind w:left="720" w:hanging="360"/>
        <w:rPr>
          <w:u w:val="none"/>
        </w:rPr>
      </w:pPr>
      <w:r w:rsidDel="00000000" w:rsidR="00000000" w:rsidRPr="00000000">
        <w:rPr>
          <w:rtl w:val="0"/>
        </w:rPr>
        <w:t xml:space="preserve">Waiver</w:t>
        <w:br w:type="textWrapping"/>
      </w:r>
    </w:p>
    <w:p w:rsidR="00000000" w:rsidDel="00000000" w:rsidP="00000000" w:rsidRDefault="00000000" w:rsidRPr="00000000" w14:paraId="00000040">
      <w:pPr>
        <w:pStyle w:val="Heading3"/>
        <w:spacing w:after="80" w:before="280" w:line="312" w:lineRule="auto"/>
        <w:rPr>
          <w:b w:val="1"/>
          <w:bCs w:val="1"/>
        </w:rPr>
      </w:pPr>
      <w:bookmarkStart w:colFirst="0" w:colLast="0" w:name="_izytughm1jvk" w:id="6"/>
      <w:bookmarkEnd w:id="6"/>
      <w:r w:rsidDel="00000000" w:rsidR="00000000" w:rsidRPr="00000000">
        <w:rPr>
          <w:b w:val="1"/>
          <w:bCs w:val="1"/>
          <w:rtl w:val="0"/>
        </w:rPr>
        <w:t xml:space="preserve">5. Operational Shutdown</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rtl w:val="0"/>
        </w:rPr>
        <w:t xml:space="preserve">Stop all discretionary spending and new orders immediately.</w:t>
        <w:br w:type="textWrapping"/>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Continue essential payments only (utilities, staff termination obligations).</w:t>
        <w:br w:type="textWrapping"/>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De-brand carefully: remove marks, signage, and IP promptly once exit confirmed.</w:t>
        <w:br w:type="textWrapping"/>
      </w:r>
    </w:p>
    <w:p w:rsidR="00000000" w:rsidDel="00000000" w:rsidP="00000000" w:rsidRDefault="00000000" w:rsidRPr="00000000" w14:paraId="00000044">
      <w:pPr>
        <w:numPr>
          <w:ilvl w:val="0"/>
          <w:numId w:val="2"/>
        </w:numPr>
        <w:spacing w:after="240" w:before="0" w:beforeAutospacing="0" w:lineRule="auto"/>
        <w:ind w:left="720" w:hanging="360"/>
      </w:pPr>
      <w:r w:rsidDel="00000000" w:rsidR="00000000" w:rsidRPr="00000000">
        <w:rPr>
          <w:rtl w:val="0"/>
        </w:rPr>
        <w:t xml:space="preserve">Maintain photo and inventory records for proof of compliance.</w:t>
        <w:br w:type="textWrapping"/>
      </w:r>
    </w:p>
    <w:p w:rsidR="00000000" w:rsidDel="00000000" w:rsidP="00000000" w:rsidRDefault="00000000" w:rsidRPr="00000000" w14:paraId="00000045">
      <w:pPr>
        <w:pStyle w:val="Heading3"/>
        <w:spacing w:after="80" w:before="280" w:line="312" w:lineRule="auto"/>
        <w:rPr>
          <w:b w:val="1"/>
          <w:bCs w:val="1"/>
        </w:rPr>
      </w:pPr>
      <w:bookmarkStart w:colFirst="0" w:colLast="0" w:name="_j2hfyhazyb4g" w:id="7"/>
      <w:bookmarkEnd w:id="7"/>
      <w:r w:rsidDel="00000000" w:rsidR="00000000" w:rsidRPr="00000000">
        <w:rPr>
          <w:b w:val="1"/>
          <w:bCs w:val="1"/>
          <w:rtl w:val="0"/>
        </w:rPr>
        <w:t xml:space="preserve">6. Communications Protocol</w:t>
      </w:r>
    </w:p>
    <w:p w:rsidR="00000000" w:rsidDel="00000000" w:rsidP="00000000" w:rsidRDefault="00000000" w:rsidRPr="00000000" w14:paraId="00000046">
      <w:pPr>
        <w:spacing w:after="240" w:before="240" w:lineRule="auto"/>
        <w:rPr/>
      </w:pPr>
      <w:r w:rsidDel="00000000" w:rsidR="00000000" w:rsidRPr="00000000">
        <w:rPr>
          <w:rtl w:val="0"/>
        </w:rPr>
        <w:t xml:space="preserve">All messages to the franchisor or sublandlord should use </w:t>
      </w:r>
      <w:r w:rsidDel="00000000" w:rsidR="00000000" w:rsidRPr="00000000">
        <w:rPr>
          <w:b w:val="1"/>
          <w:bCs w:val="1"/>
          <w:rtl w:val="0"/>
        </w:rPr>
        <w:t xml:space="preserve">procedural language</w:t>
      </w:r>
      <w:r w:rsidDel="00000000" w:rsidR="00000000" w:rsidRPr="00000000">
        <w:rPr>
          <w:rtl w:val="0"/>
        </w:rPr>
        <w:t xml:space="preserve">, not admissions.</w:t>
        <w:br w:type="textWrapping"/>
        <w:t xml:space="preserve"> Sample tone:</w:t>
      </w:r>
    </w:p>
    <w:p w:rsidR="00000000" w:rsidDel="00000000" w:rsidP="00000000" w:rsidRDefault="00000000" w:rsidRPr="00000000" w14:paraId="00000047">
      <w:pPr>
        <w:spacing w:after="240" w:before="240" w:lineRule="auto"/>
        <w:ind w:left="600" w:right="600" w:firstLine="0"/>
        <w:rPr/>
      </w:pPr>
      <w:r w:rsidDel="00000000" w:rsidR="00000000" w:rsidRPr="00000000">
        <w:rPr>
          <w:rtl w:val="0"/>
        </w:rPr>
        <w:t xml:space="preserve">“Kishmish Inc. is undertaking a financial and operational review due to sustained losses. We wish to discuss an orderly transition that minimizes disruption and preserves the brand’s integrity. The company continues to operate in good faith pending those discussions.”</w:t>
      </w:r>
    </w:p>
    <w:p w:rsidR="00000000" w:rsidDel="00000000" w:rsidP="00000000" w:rsidRDefault="00000000" w:rsidRPr="00000000" w14:paraId="00000048">
      <w:pPr>
        <w:rPr>
          <w:color w:val="353744"/>
          <w:sz w:val="34"/>
          <w:szCs w:val="34"/>
        </w:rPr>
      </w:pPr>
      <w:r w:rsidDel="00000000" w:rsidR="00000000" w:rsidRPr="00000000">
        <w:rPr>
          <w:rtl w:val="0"/>
        </w:rPr>
      </w:r>
    </w:p>
    <w:p w:rsidR="00000000" w:rsidDel="00000000" w:rsidP="00000000" w:rsidRDefault="00000000" w:rsidRPr="00000000" w14:paraId="00000049">
      <w:pPr>
        <w:pStyle w:val="Heading2"/>
        <w:spacing w:after="80" w:before="360" w:line="312" w:lineRule="auto"/>
        <w:rPr>
          <w:color w:val="353744"/>
          <w:sz w:val="34"/>
          <w:szCs w:val="34"/>
        </w:rPr>
      </w:pPr>
      <w:bookmarkStart w:colFirst="0" w:colLast="0" w:name="_rdqohfa9f9a3" w:id="8"/>
      <w:bookmarkEnd w:id="8"/>
      <w:r w:rsidDel="00000000" w:rsidR="00000000" w:rsidRPr="00000000">
        <w:rPr>
          <w:color w:val="353744"/>
          <w:sz w:val="34"/>
          <w:szCs w:val="34"/>
          <w:rtl w:val="0"/>
        </w:rPr>
        <w:t xml:space="preserve">Immediate Action Plan</w:t>
      </w:r>
    </w:p>
    <w:p w:rsidR="00000000" w:rsidDel="00000000" w:rsidP="00000000" w:rsidRDefault="00000000" w:rsidRPr="00000000" w14:paraId="0000004A">
      <w:pPr>
        <w:numPr>
          <w:ilvl w:val="0"/>
          <w:numId w:val="4"/>
        </w:numPr>
        <w:spacing w:after="0" w:afterAutospacing="0" w:before="240" w:lineRule="auto"/>
        <w:ind w:left="720" w:hanging="360"/>
      </w:pPr>
      <w:r w:rsidDel="00000000" w:rsidR="00000000" w:rsidRPr="00000000">
        <w:rPr>
          <w:b w:val="1"/>
          <w:bCs w:val="1"/>
          <w:rtl w:val="0"/>
        </w:rPr>
        <w:t xml:space="preserve">Reconstruct the timeline</w:t>
      </w:r>
      <w:r w:rsidDel="00000000" w:rsidR="00000000" w:rsidRPr="00000000">
        <w:rPr>
          <w:rtl w:val="0"/>
        </w:rPr>
        <w:t xml:space="preserve"> — disclosure date, signature, first payment.</w:t>
        <w:br w:type="textWrapping"/>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b w:val="1"/>
          <w:bCs w:val="1"/>
          <w:rtl w:val="0"/>
        </w:rPr>
        <w:t xml:space="preserve">Review the franchise agreement</w:t>
      </w:r>
      <w:r w:rsidDel="00000000" w:rsidR="00000000" w:rsidRPr="00000000">
        <w:rPr>
          <w:rtl w:val="0"/>
        </w:rPr>
        <w:t xml:space="preserve"> for termination, surrender, and default clauses.</w:t>
        <w:br w:type="textWrapping"/>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b w:val="1"/>
          <w:bCs w:val="1"/>
          <w:rtl w:val="0"/>
        </w:rPr>
        <w:t xml:space="preserve">Engage franchisor/sublandlord</w:t>
      </w:r>
      <w:r w:rsidDel="00000000" w:rsidR="00000000" w:rsidRPr="00000000">
        <w:rPr>
          <w:rtl w:val="0"/>
        </w:rPr>
        <w:t xml:space="preserve">: initiate “orderly transition” dialogue.</w:t>
        <w:br w:type="textWrapping"/>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b w:val="1"/>
          <w:bCs w:val="1"/>
          <w:rtl w:val="0"/>
        </w:rPr>
        <w:t xml:space="preserve">Draft mutual termination proposal</w:t>
      </w:r>
      <w:r w:rsidDel="00000000" w:rsidR="00000000" w:rsidRPr="00000000">
        <w:rPr>
          <w:rtl w:val="0"/>
        </w:rPr>
        <w:t xml:space="preserve"> (franchisor keeps premises/equipment; releases YRL and guarantors).</w:t>
        <w:br w:type="textWrapping"/>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b w:val="1"/>
          <w:bCs w:val="1"/>
          <w:rtl w:val="0"/>
        </w:rPr>
        <w:t xml:space="preserve">Maintain evidence file</w:t>
      </w:r>
      <w:r w:rsidDel="00000000" w:rsidR="00000000" w:rsidRPr="00000000">
        <w:rPr>
          <w:rtl w:val="0"/>
        </w:rPr>
        <w:t xml:space="preserve"> for equitable relief or negotiation leverage.</w:t>
        <w:br w:type="textWrapping"/>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b w:val="1"/>
          <w:bCs w:val="1"/>
          <w:rtl w:val="0"/>
        </w:rPr>
        <w:t xml:space="preserve">Advise guarantors</w:t>
      </w:r>
      <w:r w:rsidDel="00000000" w:rsidR="00000000" w:rsidRPr="00000000">
        <w:rPr>
          <w:rtl w:val="0"/>
        </w:rPr>
        <w:t xml:space="preserve">: no further personal payments or new commitments until release obtained.</w:t>
        <w:br w:type="textWrapping"/>
        <w:t xml:space="preserve"> </w:t>
      </w:r>
    </w:p>
    <w:p w:rsidR="00000000" w:rsidDel="00000000" w:rsidP="00000000" w:rsidRDefault="00000000" w:rsidRPr="00000000" w14:paraId="00000050">
      <w:pPr>
        <w:spacing w:after="240" w:before="240" w:lineRule="auto"/>
        <w:rPr/>
      </w:pPr>
      <w:r w:rsidDel="00000000" w:rsidR="00000000" w:rsidRPr="00000000">
        <w:rPr>
          <w:rtl w:val="0"/>
        </w:rPr>
        <w:t xml:space="preserve">If you’d like, I can draft a </w:t>
      </w:r>
      <w:r w:rsidDel="00000000" w:rsidR="00000000" w:rsidRPr="00000000">
        <w:rPr>
          <w:b w:val="1"/>
          <w:bCs w:val="1"/>
          <w:rtl w:val="0"/>
        </w:rPr>
        <w:t xml:space="preserve">template “Orderly Transition / Mutual Termination Proposal Letter”</w:t>
      </w:r>
      <w:r w:rsidDel="00000000" w:rsidR="00000000" w:rsidRPr="00000000">
        <w:rPr>
          <w:rtl w:val="0"/>
        </w:rPr>
        <w:t xml:space="preserve"> — a short, non-adversarial communication to the franchisor/sublandlord that opens this process without admitting default or waiving rights. Would you like that next?</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