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es4539baqlxl" w:id="0"/>
      <w:bookmarkEnd w:id="0"/>
      <w:r w:rsidDel="00000000" w:rsidR="00000000" w:rsidRPr="00000000">
        <w:rPr>
          <w:sz w:val="46"/>
          <w:szCs w:val="46"/>
          <w:rtl w:val="0"/>
        </w:rPr>
        <w:t xml:space="preserve">TIER 2 LEAD MAGNET (COMPLIANCE SAAS FUNNEL)</w:t>
      </w:r>
    </w:p>
    <w:p w:rsidR="00000000" w:rsidDel="00000000" w:rsidP="00000000" w:rsidRDefault="00000000" w:rsidRPr="00000000" w14:paraId="00000002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fukp4yqkfk4r" w:id="1"/>
      <w:bookmarkEnd w:id="1"/>
      <w:r w:rsidDel="00000000" w:rsidR="00000000" w:rsidRPr="00000000">
        <w:rPr>
          <w:sz w:val="46"/>
          <w:szCs w:val="46"/>
          <w:rtl w:val="0"/>
        </w:rPr>
        <w:t xml:space="preserve">“The FINTRAC Effectiveness Review Playbook: The 24-Month System Your Compliance Platform Must Operationalize”</w:t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rPr/>
      </w:pPr>
      <w:bookmarkStart w:colFirst="0" w:colLast="0" w:name="_ndi7hqvotv44" w:id="2"/>
      <w:bookmarkEnd w:id="2"/>
      <w:r w:rsidDel="00000000" w:rsidR="00000000" w:rsidRPr="00000000">
        <w:rPr>
          <w:b w:val="1"/>
          <w:bCs w:val="1"/>
          <w:rtl w:val="0"/>
        </w:rPr>
        <w:t xml:space="preserve">A systems-oriented lead magnet that highlights operational pain and the necessity of SaaS automation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jbnumkq80put" w:id="3"/>
      <w:bookmarkEnd w:id="3"/>
      <w:r w:rsidDel="00000000" w:rsidR="00000000" w:rsidRPr="00000000">
        <w:rPr>
          <w:color w:val="353744"/>
          <w:sz w:val="34"/>
          <w:szCs w:val="34"/>
          <w:rtl w:val="0"/>
        </w:rPr>
        <w:t xml:space="preserve">Purpose (Tier 2-Optimized)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This version reframes the roadmap from manual tasks → to system requirements. The goal is to show MSBs and remittance operators why KYB/KYC, case management, automation, and dashboards,  are required to pass FINTRAC’s exam model.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positions your SaaS as the core operational engine that automatically satisfies each regulatory requirement. </w:t>
      </w:r>
    </w:p>
    <w:p w:rsidR="00000000" w:rsidDel="00000000" w:rsidP="00000000" w:rsidRDefault="00000000" w:rsidRPr="00000000" w14:paraId="00000007">
      <w:pPr>
        <w:pStyle w:val="Heading1"/>
        <w:spacing w:after="120" w:line="312" w:lineRule="auto"/>
        <w:rPr/>
      </w:pPr>
      <w:bookmarkStart w:colFirst="0" w:colLast="0" w:name="_sm8bg3kgrqoo" w:id="4"/>
      <w:bookmarkEnd w:id="4"/>
      <w:r w:rsidDel="00000000" w:rsidR="00000000" w:rsidRPr="00000000">
        <w:rPr>
          <w:sz w:val="46"/>
          <w:szCs w:val="46"/>
          <w:rtl w:val="0"/>
        </w:rPr>
        <w:t xml:space="preserve">Lead Magnet Structure (Tier 2 Version)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6inek8thprv5" w:id="5"/>
      <w:bookmarkEnd w:id="5"/>
      <w:r w:rsidDel="00000000" w:rsidR="00000000" w:rsidRPr="00000000">
        <w:rPr>
          <w:color w:val="353744"/>
          <w:sz w:val="34"/>
          <w:szCs w:val="34"/>
          <w:rtl w:val="0"/>
        </w:rPr>
        <w:t xml:space="preserve">Cover Page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FINTRAC Effectiveness Review Playbook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 High-Performing MSBs Build, Measure &amp; Prove AML/ATF Effectiveness Over 24 Months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wvmcrhu50qft" w:id="6"/>
      <w:bookmarkEnd w:id="6"/>
      <w:r w:rsidDel="00000000" w:rsidR="00000000" w:rsidRPr="00000000">
        <w:rPr>
          <w:sz w:val="46"/>
          <w:szCs w:val="46"/>
          <w:rtl w:val="0"/>
        </w:rPr>
        <w:t xml:space="preserve">SECTION 1 — FINTRAC’s Modern Exam Model: What SaaS Must Enable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the pain: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FINTRAC now expects metric-driven compliance.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Manual AML operations cannot sustain scaling MSBs.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Year-2 Effectiveness Reviews require audit trails, quality evidence, and system-enabled controls.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primes the reader for automation. </w:t>
      </w:r>
    </w:p>
    <w:p w:rsidR="00000000" w:rsidDel="00000000" w:rsidP="00000000" w:rsidRDefault="00000000" w:rsidRPr="00000000" w14:paraId="0000001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lbby2bynk17a" w:id="7"/>
      <w:bookmarkEnd w:id="7"/>
      <w:r w:rsidDel="00000000" w:rsidR="00000000" w:rsidRPr="00000000">
        <w:rPr>
          <w:sz w:val="46"/>
          <w:szCs w:val="46"/>
          <w:rtl w:val="0"/>
        </w:rPr>
        <w:t xml:space="preserve">SECTION 2 — The 24-Month Operational Model (Mapped to SaaS Requirements)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phase is rewritten as </w:t>
      </w:r>
      <w:r w:rsidDel="00000000" w:rsidR="00000000" w:rsidRPr="00000000">
        <w:rPr>
          <w:b w:val="1"/>
          <w:bCs w:val="1"/>
          <w:rtl w:val="0"/>
        </w:rPr>
        <w:t xml:space="preserve">system requirements</w:t>
      </w:r>
      <w:r w:rsidDel="00000000" w:rsidR="00000000" w:rsidRPr="00000000">
        <w:rPr>
          <w:rtl w:val="0"/>
        </w:rPr>
        <w:t xml:space="preserve">, not tasks.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kp8ge6b41khx" w:id="8"/>
      <w:bookmarkEnd w:id="8"/>
      <w:r w:rsidDel="00000000" w:rsidR="00000000" w:rsidRPr="00000000">
        <w:rPr>
          <w:color w:val="353744"/>
          <w:sz w:val="34"/>
          <w:szCs w:val="34"/>
          <w:rtl w:val="0"/>
        </w:rPr>
        <w:t xml:space="preserve">Phase 0 — Pre-Registration (Weeks 0–4)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Requirements: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P&amp;P repository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KYC/KYB vendor integrations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architecture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SaaS Positioning: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Manual compliance starts failing the moment onboarding volumes increase → operators need unified workflows early. </w:t>
      </w:r>
    </w:p>
    <w:p w:rsidR="00000000" w:rsidDel="00000000" w:rsidP="00000000" w:rsidRDefault="00000000" w:rsidRPr="00000000" w14:paraId="0000001B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rxogwn7du6ul" w:id="9"/>
      <w:bookmarkEnd w:id="9"/>
      <w:r w:rsidDel="00000000" w:rsidR="00000000" w:rsidRPr="00000000">
        <w:rPr>
          <w:color w:val="353744"/>
          <w:sz w:val="34"/>
          <w:szCs w:val="34"/>
          <w:rtl w:val="0"/>
        </w:rPr>
        <w:t xml:space="preserve">Phase 1 — Launch (Months 0–6)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Requirements: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onboarding flows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sanctions &amp; PEP screening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monitoring rules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management for alerts &amp; onboarding exceptions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dashboarding (hits, false positives, onboarding time)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Pain Point Introduced:</w:t>
        <w:br w:type="textWrapping"/>
      </w:r>
      <w:r w:rsidDel="00000000" w:rsidR="00000000" w:rsidRPr="00000000">
        <w:rPr>
          <w:rtl w:val="0"/>
        </w:rPr>
        <w:t xml:space="preserve"> Evidence generation — without automated logs, MSBs cannot prove early effectiveness. </w:t>
      </w:r>
    </w:p>
    <w:p w:rsidR="00000000" w:rsidDel="00000000" w:rsidP="00000000" w:rsidRDefault="00000000" w:rsidRPr="00000000" w14:paraId="00000023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sbx62lvp6kp8" w:id="10"/>
      <w:bookmarkEnd w:id="10"/>
      <w:r w:rsidDel="00000000" w:rsidR="00000000" w:rsidRPr="00000000">
        <w:rPr>
          <w:color w:val="353744"/>
          <w:sz w:val="34"/>
          <w:szCs w:val="34"/>
          <w:rtl w:val="0"/>
        </w:rPr>
        <w:t xml:space="preserve">Phase 2 — First Effectiveness Check (Months 6–12)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Requirements: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 engine tied to real transactional data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for STR reviews and filings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tuning controls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KPI/KRI dashboards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SaaS Positioning: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Most MSBs fail because data is spread across spreadsheets, email, and vendors → your platform centralizes it.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d1tbjv1fooie" w:id="11"/>
      <w:bookmarkEnd w:id="11"/>
      <w:r w:rsidDel="00000000" w:rsidR="00000000" w:rsidRPr="00000000">
        <w:rPr>
          <w:color w:val="353744"/>
          <w:sz w:val="34"/>
          <w:szCs w:val="34"/>
          <w:rtl w:val="0"/>
        </w:rPr>
        <w:t xml:space="preserve">Phase 3 — Maturity Prep (Months 12–18)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Requirements: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Role-specific training tracking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Audit-ready evidence repositories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Corrective Action Log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 timeliness metrics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Corridor-level risk scoring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Pain Point Introduced:</w:t>
        <w:br w:type="textWrapping"/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Governance: Boards must see structured reporting → dashboards solve this.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7t4ngm9uwyo4" w:id="12"/>
      <w:bookmarkEnd w:id="12"/>
      <w:r w:rsidDel="00000000" w:rsidR="00000000" w:rsidRPr="00000000">
        <w:rPr>
          <w:color w:val="353744"/>
          <w:sz w:val="34"/>
          <w:szCs w:val="34"/>
          <w:rtl w:val="0"/>
        </w:rPr>
        <w:t xml:space="preserve">Phase 4 — Two-Year Effectiveness Review (Months 18–24)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Requirements:</w:t>
        <w:br w:type="textWrapping"/>
      </w:r>
      <w:r w:rsidDel="00000000" w:rsidR="00000000" w:rsidRPr="00000000">
        <w:rPr>
          <w:rtl w:val="0"/>
        </w:rPr>
        <w:t xml:space="preserve"> To pass the review, MSBs need: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Exportable audit evidence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Reviewer-level read-only access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program coverage reporting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tracking functionality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SaaS Positioning:</w:t>
        <w:br w:type="textWrapping"/>
      </w:r>
      <w:r w:rsidDel="00000000" w:rsidR="00000000" w:rsidRPr="00000000">
        <w:rPr>
          <w:rtl w:val="0"/>
        </w:rPr>
        <w:t xml:space="preserve"> Your platform becomes the “system of record” examiners expect.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uo6hci5xndbp" w:id="13"/>
      <w:bookmarkEnd w:id="13"/>
      <w:r w:rsidDel="00000000" w:rsidR="00000000" w:rsidRPr="00000000">
        <w:rPr>
          <w:color w:val="353744"/>
          <w:sz w:val="34"/>
          <w:szCs w:val="34"/>
          <w:rtl w:val="0"/>
        </w:rPr>
        <w:t xml:space="preserve">Phase 5 — Optimization (Month 24+)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Requirements: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tuning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reporting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progress tracking</w:t>
        <w:br w:type="textWrapping"/>
        <w:t xml:space="preserve"> </w:t>
      </w:r>
    </w:p>
    <w:p w:rsidR="00000000" w:rsidDel="00000000" w:rsidP="00000000" w:rsidRDefault="00000000" w:rsidRPr="00000000" w14:paraId="00000041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ve9nsw9o9pw" w:id="14"/>
      <w:bookmarkEnd w:id="14"/>
      <w:r w:rsidDel="00000000" w:rsidR="00000000" w:rsidRPr="00000000">
        <w:rPr>
          <w:sz w:val="46"/>
          <w:szCs w:val="46"/>
          <w:rtl w:val="0"/>
        </w:rPr>
        <w:t xml:space="preserve">SECTION 3 — The Critical Gap: Manual vs Systemized AML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comparison table showing: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2105"/>
        <w:gridCol w:w="3695"/>
        <w:tblGridChange w:id="0">
          <w:tblGrid>
            <w:gridCol w:w="2900"/>
            <w:gridCol w:w="2105"/>
            <w:gridCol w:w="3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Systemized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STR timeliness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Spreadsheet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Automated timers + case workflows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Screening hit investigations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Email threads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Case queues + audit trails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KYC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Document folders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Structured data fields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Risk assessment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Annual rewrite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Data-driven recalculation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builds urgency and justifies SaaS adoption.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1qdgx0ek7bc5" w:id="15"/>
      <w:bookmarkEnd w:id="15"/>
      <w:r w:rsidDel="00000000" w:rsidR="00000000" w:rsidRPr="00000000">
        <w:rPr>
          <w:sz w:val="46"/>
          <w:szCs w:val="46"/>
          <w:rtl w:val="0"/>
        </w:rPr>
        <w:t xml:space="preserve">SECTION 4 — What FINTRAC Examiners Look For (Mapped to SaaS Features)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ties regulatory expectations to your platform’s feature pillars: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Governance → Dashboards &amp; reporting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KYC/KYB → Automated onboarding + data completeness checks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Monitoring → Configurable rules + case management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Training → Evidence tracking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Recordkeeping → Immutable audit logs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120" w:line="312" w:lineRule="auto"/>
        <w:rPr>
          <w:sz w:val="46"/>
          <w:szCs w:val="46"/>
        </w:rPr>
      </w:pPr>
      <w:bookmarkStart w:colFirst="0" w:colLast="0" w:name="_igugnty25psv" w:id="16"/>
      <w:bookmarkEnd w:id="16"/>
      <w:r w:rsidDel="00000000" w:rsidR="00000000" w:rsidRPr="00000000">
        <w:rPr>
          <w:sz w:val="46"/>
          <w:szCs w:val="46"/>
          <w:rtl w:val="0"/>
        </w:rPr>
        <w:t xml:space="preserve">SECTION 5 — CTA: See the Compliance Platform That Operationalizes This Entire Model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Positioning for your SaaS tiers: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“Starter gets you live in 30 days.</w:t>
        <w:br w:type="textWrapping"/>
        <w:t xml:space="preserve"> Growth adds corridor-level risk scoring and monitoring tuning.</w:t>
        <w:br w:type="textWrapping"/>
        <w:t xml:space="preserve"> Enterprise supports multi-entity governance, custom workflows, and advanced oversight dashboards.”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Call-to-action options: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 a workflow mapping session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a platform demo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the effectiveness review readiness checklist</w:t>
      </w:r>
      <w:r w:rsidDel="00000000" w:rsidR="00000000" w:rsidRPr="00000000">
        <w:rPr>
          <w:rtl w:val="0"/>
        </w:rPr>
        <w:t xml:space="preserve"> (micro-conversion)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