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4"/>
        <w:spacing w:after="0" w:before="0" w:line="240" w:lineRule="auto"/>
        <w:jc w:val="both"/>
        <w:rPr>
          <w:rFonts w:ascii="Times New Roman" w:cs="Times New Roman" w:eastAsia="Times New Roman" w:hAnsi="Times New Roman"/>
          <w:b w:val="1"/>
          <w:bCs w:val="1"/>
          <w:color w:val="08122b"/>
          <w:sz w:val="22"/>
          <w:szCs w:val="22"/>
        </w:rPr>
      </w:pPr>
      <w:bookmarkStart w:colFirst="0" w:colLast="0" w:name="_1yfckedhpjf4" w:id="0"/>
      <w:bookmarkEnd w:id="0"/>
      <w:r w:rsidDel="00000000" w:rsidR="00000000" w:rsidRPr="00000000">
        <w:rPr>
          <w:rFonts w:ascii="Times New Roman" w:cs="Times New Roman" w:eastAsia="Times New Roman" w:hAnsi="Times New Roman"/>
          <w:b w:val="1"/>
          <w:bCs w:val="1"/>
          <w:color w:val="08122b"/>
          <w:sz w:val="22"/>
          <w:szCs w:val="22"/>
          <w:rtl w:val="0"/>
        </w:rPr>
        <w:t xml:space="preserve">Matthew AJ Levine </w:t>
      </w:r>
    </w:p>
    <w:p w:rsidR="00000000" w:rsidDel="00000000" w:rsidP="00000000" w:rsidRDefault="00000000" w:rsidRPr="00000000" w14:paraId="00000002">
      <w:pPr>
        <w:pStyle w:val="Heading4"/>
        <w:spacing w:after="0" w:before="0" w:line="240" w:lineRule="auto"/>
        <w:jc w:val="both"/>
        <w:rPr>
          <w:rFonts w:ascii="Times New Roman" w:cs="Times New Roman" w:eastAsia="Times New Roman" w:hAnsi="Times New Roman"/>
          <w:b w:val="1"/>
          <w:bCs w:val="1"/>
          <w:color w:val="08122b"/>
          <w:sz w:val="22"/>
          <w:szCs w:val="22"/>
        </w:rPr>
      </w:pPr>
      <w:bookmarkStart w:colFirst="0" w:colLast="0" w:name="_paiv2oq3e778" w:id="1"/>
      <w:bookmarkEnd w:id="1"/>
      <w:r w:rsidDel="00000000" w:rsidR="00000000" w:rsidRPr="00000000">
        <w:rPr>
          <w:rFonts w:ascii="Times New Roman" w:cs="Times New Roman" w:eastAsia="Times New Roman" w:hAnsi="Times New Roman"/>
          <w:b w:val="1"/>
          <w:bCs w:val="1"/>
          <w:color w:val="08122b"/>
          <w:sz w:val="22"/>
          <w:szCs w:val="22"/>
          <w:rtl w:val="0"/>
        </w:rPr>
        <w:t xml:space="preserve">Professional Corporation</w:t>
      </w:r>
    </w:p>
    <w:p w:rsidR="00000000" w:rsidDel="00000000" w:rsidP="00000000" w:rsidRDefault="00000000" w:rsidRPr="00000000" w14:paraId="00000003">
      <w:pPr>
        <w:spacing w:line="240" w:lineRule="auto"/>
        <w:jc w:val="both"/>
        <w:rPr>
          <w:rFonts w:ascii="Times New Roman" w:cs="Times New Roman" w:eastAsia="Times New Roman" w:hAnsi="Times New Roman"/>
          <w:color w:val="666666"/>
          <w:sz w:val="20"/>
          <w:szCs w:val="20"/>
        </w:rPr>
      </w:pPr>
      <w:r w:rsidDel="00000000" w:rsidR="00000000" w:rsidRPr="00000000">
        <w:rPr>
          <w:rFonts w:ascii="Times New Roman" w:cs="Times New Roman" w:eastAsia="Times New Roman" w:hAnsi="Times New Roman"/>
          <w:color w:val="666666"/>
          <w:sz w:val="20"/>
          <w:szCs w:val="20"/>
          <w:rtl w:val="0"/>
        </w:rPr>
        <w:t xml:space="preserve">Suite 700 - 1235 Bay Street</w:t>
      </w:r>
    </w:p>
    <w:p w:rsidR="00000000" w:rsidDel="00000000" w:rsidP="00000000" w:rsidRDefault="00000000" w:rsidRPr="00000000" w14:paraId="00000004">
      <w:pPr>
        <w:spacing w:line="240" w:lineRule="auto"/>
        <w:jc w:val="both"/>
        <w:rPr>
          <w:rFonts w:ascii="Times New Roman" w:cs="Times New Roman" w:eastAsia="Times New Roman" w:hAnsi="Times New Roman"/>
          <w:color w:val="666666"/>
          <w:sz w:val="20"/>
          <w:szCs w:val="20"/>
        </w:rPr>
      </w:pPr>
      <w:r w:rsidDel="00000000" w:rsidR="00000000" w:rsidRPr="00000000">
        <w:rPr>
          <w:rFonts w:ascii="Times New Roman" w:cs="Times New Roman" w:eastAsia="Times New Roman" w:hAnsi="Times New Roman"/>
          <w:color w:val="666666"/>
          <w:sz w:val="20"/>
          <w:szCs w:val="20"/>
          <w:rtl w:val="0"/>
        </w:rPr>
        <w:t xml:space="preserve">Yorkville, Toronto, M5R 3K4 </w:t>
      </w:r>
    </w:p>
    <w:p w:rsidR="00000000" w:rsidDel="00000000" w:rsidP="00000000" w:rsidRDefault="00000000" w:rsidRPr="00000000" w14:paraId="00000005">
      <w:pPr>
        <w:spacing w:line="240" w:lineRule="auto"/>
        <w:jc w:val="both"/>
        <w:rPr>
          <w:rFonts w:ascii="Times New Roman" w:cs="Times New Roman" w:eastAsia="Times New Roman" w:hAnsi="Times New Roman"/>
          <w:color w:val="666666"/>
          <w:sz w:val="20"/>
          <w:szCs w:val="20"/>
        </w:rPr>
      </w:pPr>
      <w:r w:rsidDel="00000000" w:rsidR="00000000" w:rsidRPr="00000000">
        <w:rPr>
          <w:rFonts w:ascii="Times New Roman" w:cs="Times New Roman" w:eastAsia="Times New Roman" w:hAnsi="Times New Roman"/>
          <w:color w:val="666666"/>
          <w:sz w:val="20"/>
          <w:szCs w:val="20"/>
          <w:rtl w:val="0"/>
        </w:rPr>
        <w:t xml:space="preserve">+1 (647) 598-2598</w:t>
      </w:r>
    </w:p>
    <w:p w:rsidR="00000000" w:rsidDel="00000000" w:rsidP="00000000" w:rsidRDefault="00000000" w:rsidRPr="00000000" w14:paraId="00000006">
      <w:pPr>
        <w:spacing w:line="240" w:lineRule="auto"/>
        <w:jc w:val="both"/>
        <w:rPr>
          <w:rFonts w:ascii="Times New Roman" w:cs="Times New Roman" w:eastAsia="Times New Roman" w:hAnsi="Times New Roman"/>
          <w:color w:val="666666"/>
          <w:sz w:val="20"/>
          <w:szCs w:val="20"/>
        </w:rPr>
      </w:pPr>
      <w:r w:rsidDel="00000000" w:rsidR="00000000" w:rsidRPr="00000000">
        <w:rPr>
          <w:rFonts w:ascii="Times New Roman" w:cs="Times New Roman" w:eastAsia="Times New Roman" w:hAnsi="Times New Roman"/>
          <w:color w:val="666666"/>
          <w:sz w:val="20"/>
          <w:szCs w:val="20"/>
          <w:rtl w:val="0"/>
        </w:rPr>
        <w:t xml:space="preserve">office@levinelegal.ca</w:t>
      </w:r>
    </w:p>
    <w:p w:rsidR="00000000" w:rsidDel="00000000" w:rsidP="00000000" w:rsidRDefault="00000000" w:rsidRPr="00000000" w14:paraId="00000007">
      <w:pPr>
        <w:spacing w:line="240" w:lineRule="auto"/>
        <w:jc w:val="right"/>
        <w:rPr>
          <w:rFonts w:ascii="Times New Roman" w:cs="Times New Roman" w:eastAsia="Times New Roman" w:hAnsi="Times New Roman"/>
          <w:color w:val="666666"/>
          <w:sz w:val="20"/>
          <w:szCs w:val="20"/>
        </w:rPr>
      </w:pPr>
      <w:r w:rsidDel="00000000" w:rsidR="00000000" w:rsidRPr="00000000">
        <w:rPr>
          <w:rtl w:val="0"/>
        </w:rPr>
      </w:r>
    </w:p>
    <w:p w:rsidR="00000000" w:rsidDel="00000000" w:rsidP="00000000" w:rsidRDefault="00000000" w:rsidRPr="00000000" w14:paraId="00000008">
      <w:pPr>
        <w:spacing w:line="240" w:lineRule="auto"/>
        <w:jc w:val="both"/>
        <w:rPr>
          <w:rFonts w:ascii="Proxima Nova" w:cs="Proxima Nova" w:eastAsia="Proxima Nova" w:hAnsi="Proxima Nova"/>
          <w:color w:val="353744"/>
        </w:rPr>
      </w:pPr>
      <w:r w:rsidDel="00000000" w:rsidR="00000000" w:rsidRPr="00000000">
        <w:rPr>
          <w:rtl w:val="0"/>
        </w:rPr>
      </w:r>
    </w:p>
    <w:p w:rsidR="00000000" w:rsidDel="00000000" w:rsidP="00000000" w:rsidRDefault="00000000" w:rsidRPr="00000000" w14:paraId="00000009">
      <w:pPr>
        <w:pStyle w:val="Title"/>
        <w:jc w:val="both"/>
        <w:rPr/>
      </w:pPr>
      <w:bookmarkStart w:colFirst="0" w:colLast="0" w:name="_x1qg1c30zmid" w:id="2"/>
      <w:bookmarkEnd w:id="2"/>
      <w:r w:rsidDel="00000000" w:rsidR="00000000" w:rsidRPr="00000000">
        <w:rPr>
          <w:rtl w:val="0"/>
        </w:rPr>
        <w:t xml:space="preserve">Contract Law -  </w:t>
      </w:r>
      <w:r w:rsidDel="00000000" w:rsidR="00000000" w:rsidRPr="00000000">
        <w:rPr>
          <w:rtl w:val="0"/>
        </w:rPr>
      </w:r>
    </w:p>
    <w:p w:rsidR="00000000" w:rsidDel="00000000" w:rsidP="00000000" w:rsidRDefault="00000000" w:rsidRPr="00000000" w14:paraId="0000000A">
      <w:pPr>
        <w:pStyle w:val="Heading1"/>
        <w:rPr/>
      </w:pPr>
      <w:bookmarkStart w:colFirst="0" w:colLast="0" w:name="_fqdxzkhatyim" w:id="3"/>
      <w:bookmarkEnd w:id="3"/>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pStyle w:val="Heading2"/>
        <w:rPr/>
      </w:pPr>
      <w:bookmarkStart w:colFirst="0" w:colLast="0" w:name="_94rf44d68vmb" w:id="4"/>
      <w:bookmarkEnd w:id="4"/>
      <w:r w:rsidDel="00000000" w:rsidR="00000000" w:rsidRPr="00000000">
        <w:rPr>
          <w:rtl w:val="0"/>
        </w:rPr>
        <w:t xml:space="preserve">Reps and warranties </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pacing w:after="280" w:before="280" w:line="408" w:lineRule="auto"/>
        <w:jc w:val="both"/>
        <w:rPr>
          <w:rFonts w:ascii="Verdana" w:cs="Verdana" w:eastAsia="Verdana" w:hAnsi="Verdana"/>
          <w:color w:val="212121"/>
          <w:sz w:val="18"/>
          <w:szCs w:val="18"/>
        </w:rPr>
      </w:pPr>
      <w:r w:rsidDel="00000000" w:rsidR="00000000" w:rsidRPr="00000000">
        <w:rPr>
          <w:rFonts w:ascii="Verdana" w:cs="Verdana" w:eastAsia="Verdana" w:hAnsi="Verdana"/>
          <w:color w:val="212121"/>
          <w:sz w:val="18"/>
          <w:szCs w:val="18"/>
          <w:rtl w:val="0"/>
        </w:rPr>
        <w:t xml:space="preserve">A representation is an assertion of fact given by one party to a transaction to the other party that is true as of the date such assertion is made. It is provided in order to induce the recipient to enter into the agreement. If the representation is misleading or inaccurate, then it is false. A false representation may constitute a material breach of the agreement and may entitle the recipient to compensation for any damages incurred in connection therewith.</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pacing w:after="280" w:before="280" w:line="408" w:lineRule="auto"/>
        <w:jc w:val="both"/>
        <w:rPr>
          <w:rFonts w:ascii="Verdana" w:cs="Verdana" w:eastAsia="Verdana" w:hAnsi="Verdana"/>
          <w:color w:val="212121"/>
          <w:sz w:val="18"/>
          <w:szCs w:val="18"/>
        </w:rPr>
      </w:pPr>
      <w:r w:rsidDel="00000000" w:rsidR="00000000" w:rsidRPr="00000000">
        <w:rPr>
          <w:rFonts w:ascii="Verdana" w:cs="Verdana" w:eastAsia="Verdana" w:hAnsi="Verdana"/>
          <w:color w:val="212121"/>
          <w:sz w:val="18"/>
          <w:szCs w:val="18"/>
          <w:rtl w:val="0"/>
        </w:rPr>
        <w:t xml:space="preserve">A warranty is a promise that an assertion of fact, </w:t>
      </w:r>
      <w:r w:rsidDel="00000000" w:rsidR="00000000" w:rsidRPr="00000000">
        <w:rPr>
          <w:rFonts w:ascii="Verdana" w:cs="Verdana" w:eastAsia="Verdana" w:hAnsi="Verdana"/>
          <w:i w:val="1"/>
          <w:iCs w:val="1"/>
          <w:color w:val="212121"/>
          <w:sz w:val="18"/>
          <w:szCs w:val="18"/>
          <w:rtl w:val="0"/>
        </w:rPr>
        <w:t xml:space="preserve">i.e.</w:t>
      </w:r>
      <w:r w:rsidDel="00000000" w:rsidR="00000000" w:rsidRPr="00000000">
        <w:rPr>
          <w:rFonts w:ascii="Verdana" w:cs="Verdana" w:eastAsia="Verdana" w:hAnsi="Verdana"/>
          <w:color w:val="212121"/>
          <w:sz w:val="18"/>
          <w:szCs w:val="18"/>
          <w:rtl w:val="0"/>
        </w:rPr>
        <w:t xml:space="preserve">, a representation, is true. If a contractual warranty is not true, the party that provided the warranty will have breached the applicable agreement and the recipient may be entitled to compensation for any damages incurred in connection therewith.</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pacing w:after="280" w:before="280" w:line="408" w:lineRule="auto"/>
        <w:jc w:val="both"/>
        <w:rPr>
          <w:rFonts w:ascii="Verdana" w:cs="Verdana" w:eastAsia="Verdana" w:hAnsi="Verdana"/>
          <w:color w:val="212121"/>
          <w:sz w:val="18"/>
          <w:szCs w:val="18"/>
        </w:rPr>
      </w:pPr>
      <w:r w:rsidDel="00000000" w:rsidR="00000000" w:rsidRPr="00000000">
        <w:rPr>
          <w:rFonts w:ascii="Verdana" w:cs="Verdana" w:eastAsia="Verdana" w:hAnsi="Verdana"/>
          <w:color w:val="212121"/>
          <w:sz w:val="18"/>
          <w:szCs w:val="18"/>
          <w:rtl w:val="0"/>
        </w:rPr>
        <w:t xml:space="preserve">Warranties can sometimes arise informally, based upon the service or product descriptions, advertising, and/or sales representations, or attach to a sale by applicable law, such as the implied warranties of merchantability and fitness for a particular purpose set forth in applicable provincial sale of goods legislation (see, for example, Ontario </w:t>
      </w:r>
      <w:r w:rsidDel="00000000" w:rsidR="00000000" w:rsidRPr="00000000">
        <w:rPr>
          <w:rFonts w:ascii="Verdana" w:cs="Verdana" w:eastAsia="Verdana" w:hAnsi="Verdana"/>
          <w:i w:val="1"/>
          <w:iCs w:val="1"/>
          <w:color w:val="212121"/>
          <w:sz w:val="18"/>
          <w:szCs w:val="18"/>
          <w:rtl w:val="0"/>
        </w:rPr>
        <w:t xml:space="preserve">Sale of Goods Act</w:t>
      </w:r>
      <w:r w:rsidDel="00000000" w:rsidR="00000000" w:rsidRPr="00000000">
        <w:rPr>
          <w:rFonts w:ascii="Verdana" w:cs="Verdana" w:eastAsia="Verdana" w:hAnsi="Verdana"/>
          <w:color w:val="212121"/>
          <w:sz w:val="18"/>
          <w:szCs w:val="18"/>
          <w:rtl w:val="0"/>
        </w:rPr>
        <w:t xml:space="preserve">, </w:t>
      </w:r>
      <w:hyperlink r:id="rId6">
        <w:r w:rsidDel="00000000" w:rsidR="00000000" w:rsidRPr="00000000">
          <w:rPr>
            <w:rFonts w:ascii="Verdana" w:cs="Verdana" w:eastAsia="Verdana" w:hAnsi="Verdana"/>
            <w:color w:val="006ebb"/>
            <w:sz w:val="18"/>
            <w:szCs w:val="18"/>
            <w:u w:val="single"/>
            <w:rtl w:val="0"/>
          </w:rPr>
          <w:t xml:space="preserve">R.S.O. 1990, c. S.1</w:t>
        </w:r>
      </w:hyperlink>
      <w:r w:rsidDel="00000000" w:rsidR="00000000" w:rsidRPr="00000000">
        <w:rPr>
          <w:rFonts w:ascii="Verdana" w:cs="Verdana" w:eastAsia="Verdana" w:hAnsi="Verdana"/>
          <w:color w:val="212121"/>
          <w:sz w:val="18"/>
          <w:szCs w:val="18"/>
          <w:rtl w:val="0"/>
        </w:rPr>
        <w:t xml:space="preserve">, s. </w:t>
      </w:r>
      <w:hyperlink r:id="rId7">
        <w:r w:rsidDel="00000000" w:rsidR="00000000" w:rsidRPr="00000000">
          <w:rPr>
            <w:rFonts w:ascii="Verdana" w:cs="Verdana" w:eastAsia="Verdana" w:hAnsi="Verdana"/>
            <w:color w:val="006ebb"/>
            <w:sz w:val="18"/>
            <w:szCs w:val="18"/>
            <w:u w:val="single"/>
            <w:rtl w:val="0"/>
          </w:rPr>
          <w:t xml:space="preserve">15</w:t>
        </w:r>
      </w:hyperlink>
      <w:r w:rsidDel="00000000" w:rsidR="00000000" w:rsidRPr="00000000">
        <w:rPr>
          <w:rFonts w:ascii="Verdana" w:cs="Verdana" w:eastAsia="Verdana" w:hAnsi="Verdana"/>
          <w:color w:val="212121"/>
          <w:sz w:val="18"/>
          <w:szCs w:val="18"/>
          <w:rtl w:val="0"/>
        </w:rPr>
        <w:t xml:space="preserve">).</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pacing w:after="280" w:before="280" w:line="408" w:lineRule="auto"/>
        <w:jc w:val="both"/>
        <w:rPr>
          <w:rFonts w:ascii="Verdana" w:cs="Verdana" w:eastAsia="Verdana" w:hAnsi="Verdana"/>
          <w:color w:val="212121"/>
          <w:sz w:val="18"/>
          <w:szCs w:val="18"/>
        </w:rPr>
      </w:pPr>
      <w:r w:rsidDel="00000000" w:rsidR="00000000" w:rsidRPr="00000000">
        <w:rPr>
          <w:rFonts w:ascii="Verdana" w:cs="Verdana" w:eastAsia="Verdana" w:hAnsi="Verdana"/>
          <w:color w:val="212121"/>
          <w:sz w:val="18"/>
          <w:szCs w:val="18"/>
          <w:rtl w:val="0"/>
        </w:rPr>
        <w:t xml:space="preserve">It is standard practice to include a representations and warranties clause in an agreement where the terms are used interchangeably, and the representations and warranties are jointly given by each party to the other, such as "The parties hereto each represent and warrant to the other as follows." Courts generally view the two as one and the same, despite their technical differences.</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pStyle w:val="Heading2"/>
        <w:rPr/>
      </w:pPr>
      <w:bookmarkStart w:colFirst="0" w:colLast="0" w:name="_eck9k9twed20" w:id="5"/>
      <w:bookmarkEnd w:id="5"/>
      <w:r w:rsidDel="00000000" w:rsidR="00000000" w:rsidRPr="00000000">
        <w:rPr>
          <w:rtl w:val="0"/>
        </w:rPr>
        <w:t xml:space="preserve">Covenants </w:t>
      </w:r>
    </w:p>
    <w:p w:rsidR="00000000" w:rsidDel="00000000" w:rsidP="00000000" w:rsidRDefault="00000000" w:rsidRPr="00000000" w14:paraId="00000016">
      <w:pPr>
        <w:pStyle w:val="Heading2"/>
        <w:rPr/>
      </w:pPr>
      <w:bookmarkStart w:colFirst="0" w:colLast="0" w:name="_lzu2fqhmgvs4" w:id="6"/>
      <w:bookmarkEnd w:id="6"/>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pStyle w:val="Heading2"/>
        <w:spacing w:line="408" w:lineRule="auto"/>
        <w:rPr/>
      </w:pPr>
      <w:bookmarkStart w:colFirst="0" w:colLast="0" w:name="_vzl7439u06uc" w:id="7"/>
      <w:bookmarkEnd w:id="7"/>
      <w:r w:rsidDel="00000000" w:rsidR="00000000" w:rsidRPr="00000000">
        <w:rPr>
          <w:rtl w:val="0"/>
        </w:rPr>
        <w:t xml:space="preserve">Covenants and Rights</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pacing w:after="280" w:before="280" w:line="408" w:lineRule="auto"/>
        <w:rPr>
          <w:rFonts w:ascii="Verdana" w:cs="Verdana" w:eastAsia="Verdana" w:hAnsi="Verdana"/>
          <w:color w:val="212121"/>
          <w:sz w:val="18"/>
          <w:szCs w:val="18"/>
        </w:rPr>
      </w:pPr>
      <w:r w:rsidDel="00000000" w:rsidR="00000000" w:rsidRPr="00000000">
        <w:rPr>
          <w:rFonts w:ascii="Verdana" w:cs="Verdana" w:eastAsia="Verdana" w:hAnsi="Verdana"/>
          <w:color w:val="212121"/>
          <w:sz w:val="18"/>
          <w:szCs w:val="18"/>
          <w:rtl w:val="0"/>
        </w:rPr>
        <w:t xml:space="preserve">A covenant is a promise made by one party to another party to take, or refrain from taking, certain action(s), sometimes for only a designated period of time. The party making the covenant is sometimes referred to as the obligor and the recipient as the obligee. If a contractual covenant is not met, the agreement will have been breached and the non-breaching party may be entitled to damages. Covenants and rights work together to delineate the parties' respective obligations and entitlements, which is at the crux of any transaction.</w:t>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pacing w:after="280" w:before="280" w:line="408" w:lineRule="auto"/>
        <w:rPr>
          <w:rFonts w:ascii="Verdana" w:cs="Verdana" w:eastAsia="Verdana" w:hAnsi="Verdana"/>
          <w:color w:val="212121"/>
          <w:sz w:val="18"/>
          <w:szCs w:val="18"/>
        </w:rPr>
      </w:pPr>
      <w:r w:rsidDel="00000000" w:rsidR="00000000" w:rsidRPr="00000000">
        <w:rPr>
          <w:rFonts w:ascii="Verdana" w:cs="Verdana" w:eastAsia="Verdana" w:hAnsi="Verdana"/>
          <w:color w:val="212121"/>
          <w:sz w:val="18"/>
          <w:szCs w:val="18"/>
          <w:rtl w:val="0"/>
        </w:rPr>
        <w:t xml:space="preserve">A right is the benefit that the obligee of a covenant will receive when the obligor performs its duty. For example, if the covenant is the promise to wash someone's car, the obligee's right is to receive a carwash. Covenants and rights are the direct inverse of one another, working together to set forth the respective obligations and entitlements of the parties. Covenants and rights set forth the basic transaction between the contracting parties; </w:t>
      </w:r>
      <w:r w:rsidDel="00000000" w:rsidR="00000000" w:rsidRPr="00000000">
        <w:rPr>
          <w:rFonts w:ascii="Verdana" w:cs="Verdana" w:eastAsia="Verdana" w:hAnsi="Verdana"/>
          <w:i w:val="1"/>
          <w:iCs w:val="1"/>
          <w:color w:val="212121"/>
          <w:sz w:val="18"/>
          <w:szCs w:val="18"/>
          <w:rtl w:val="0"/>
        </w:rPr>
        <w:t xml:space="preserve">i.e.</w:t>
      </w:r>
      <w:r w:rsidDel="00000000" w:rsidR="00000000" w:rsidRPr="00000000">
        <w:rPr>
          <w:rFonts w:ascii="Verdana" w:cs="Verdana" w:eastAsia="Verdana" w:hAnsi="Verdana"/>
          <w:color w:val="212121"/>
          <w:sz w:val="18"/>
          <w:szCs w:val="18"/>
          <w:rtl w:val="0"/>
        </w:rPr>
        <w:t xml:space="preserve">, what each party is providing to, and receiving from, the other.</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pacing w:after="280" w:before="280" w:line="408" w:lineRule="auto"/>
        <w:rPr>
          <w:rFonts w:ascii="Verdana" w:cs="Verdana" w:eastAsia="Verdana" w:hAnsi="Verdana"/>
          <w:color w:val="212121"/>
          <w:sz w:val="18"/>
          <w:szCs w:val="18"/>
        </w:rPr>
      </w:pPr>
      <w:r w:rsidDel="00000000" w:rsidR="00000000" w:rsidRPr="00000000">
        <w:rPr>
          <w:rFonts w:ascii="Verdana" w:cs="Verdana" w:eastAsia="Verdana" w:hAnsi="Verdana"/>
          <w:color w:val="212121"/>
          <w:sz w:val="18"/>
          <w:szCs w:val="18"/>
          <w:rtl w:val="0"/>
        </w:rPr>
        <w:t xml:space="preserve">For every covenant there is a correlative right (whether expressly stated or not), and vice-versa. Most practitioners do not see the value in stating both the covenant and the right for a particular subject matter in an agreement as one clearly implicates the other.</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pacing w:after="280" w:before="280" w:line="408" w:lineRule="auto"/>
        <w:rPr>
          <w:rFonts w:ascii="Verdana" w:cs="Verdana" w:eastAsia="Verdana" w:hAnsi="Verdana"/>
          <w:color w:val="212121"/>
          <w:sz w:val="18"/>
          <w:szCs w:val="18"/>
        </w:rPr>
      </w:pPr>
      <w:r w:rsidDel="00000000" w:rsidR="00000000" w:rsidRPr="00000000">
        <w:rPr>
          <w:rFonts w:ascii="Verdana" w:cs="Verdana" w:eastAsia="Verdana" w:hAnsi="Verdana"/>
          <w:color w:val="212121"/>
          <w:sz w:val="18"/>
          <w:szCs w:val="18"/>
          <w:rtl w:val="0"/>
        </w:rPr>
        <w:t xml:space="preserve">Best practices would require written inclusion of all covenants (as opposed to rights) in agreements, as covenants (unlike rights) require a clear, and sometimes detailed, description of the requisite behaviour required by the covenant. Therefore, spelling out all such obligations in writing serves to provide clarity in connection with the parties' obligations.</w:t>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pacing w:after="280" w:before="280" w:line="408" w:lineRule="auto"/>
        <w:rPr>
          <w:rFonts w:ascii="Verdana" w:cs="Verdana" w:eastAsia="Verdana" w:hAnsi="Verdana"/>
          <w:color w:val="212121"/>
          <w:sz w:val="18"/>
          <w:szCs w:val="18"/>
        </w:rPr>
      </w:pPr>
      <w:r w:rsidDel="00000000" w:rsidR="00000000" w:rsidRPr="00000000">
        <w:rPr>
          <w:rFonts w:ascii="Verdana" w:cs="Verdana" w:eastAsia="Verdana" w:hAnsi="Verdana"/>
          <w:color w:val="212121"/>
          <w:sz w:val="18"/>
          <w:szCs w:val="18"/>
          <w:rtl w:val="0"/>
        </w:rPr>
        <w:t xml:space="preserve">The most common covenants and rights incorporated in commercial contracts include (1) confidentiality provisions; (2) indemnification provisions; (3) ongoing representations and warranties (</w:t>
      </w:r>
      <w:r w:rsidDel="00000000" w:rsidR="00000000" w:rsidRPr="00000000">
        <w:rPr>
          <w:rFonts w:ascii="Verdana" w:cs="Verdana" w:eastAsia="Verdana" w:hAnsi="Verdana"/>
          <w:i w:val="1"/>
          <w:iCs w:val="1"/>
          <w:color w:val="212121"/>
          <w:sz w:val="18"/>
          <w:szCs w:val="18"/>
          <w:rtl w:val="0"/>
        </w:rPr>
        <w:t xml:space="preserve">i.e.</w:t>
      </w:r>
      <w:r w:rsidDel="00000000" w:rsidR="00000000" w:rsidRPr="00000000">
        <w:rPr>
          <w:rFonts w:ascii="Verdana" w:cs="Verdana" w:eastAsia="Verdana" w:hAnsi="Verdana"/>
          <w:color w:val="212121"/>
          <w:sz w:val="18"/>
          <w:szCs w:val="18"/>
          <w:rtl w:val="0"/>
        </w:rPr>
        <w:t xml:space="preserve">, those respecting future acts); (4) insurance provisions; (5) sale, delivery, purchase price, and related obligations; (6) noncompete and non-solicitation provisions; and (7) suspension and termination provisions.</w:t>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pacing w:after="280" w:before="280" w:line="408" w:lineRule="auto"/>
        <w:rPr>
          <w:rFonts w:ascii="Verdana" w:cs="Verdana" w:eastAsia="Verdana" w:hAnsi="Verdana"/>
          <w:color w:val="212121"/>
          <w:sz w:val="18"/>
          <w:szCs w:val="18"/>
        </w:rPr>
      </w:pPr>
      <w:r w:rsidDel="00000000" w:rsidR="00000000" w:rsidRPr="00000000">
        <w:rPr>
          <w:rtl w:val="0"/>
        </w:rPr>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pacing w:after="280" w:before="280" w:line="408" w:lineRule="auto"/>
        <w:rPr>
          <w:rFonts w:ascii="Verdana" w:cs="Verdana" w:eastAsia="Verdana" w:hAnsi="Verdana"/>
          <w:color w:val="212121"/>
          <w:sz w:val="18"/>
          <w:szCs w:val="18"/>
        </w:rPr>
      </w:pPr>
      <w:r w:rsidDel="00000000" w:rsidR="00000000" w:rsidRPr="00000000">
        <w:rPr>
          <w:rtl w:val="0"/>
        </w:rPr>
      </w:r>
    </w:p>
    <w:p w:rsidR="00000000" w:rsidDel="00000000" w:rsidP="00000000" w:rsidRDefault="00000000" w:rsidRPr="00000000" w14:paraId="00000020">
      <w:pPr>
        <w:pBdr>
          <w:top w:color="auto" w:space="0" w:sz="0" w:val="none"/>
          <w:bottom w:color="auto" w:space="0" w:sz="0" w:val="none"/>
          <w:right w:color="auto" w:space="0" w:sz="0" w:val="none"/>
          <w:between w:color="auto" w:space="0" w:sz="0" w:val="none"/>
        </w:pBdr>
        <w:spacing w:after="280" w:before="460" w:lineRule="auto"/>
        <w:rPr>
          <w:rFonts w:ascii="Verdana" w:cs="Verdana" w:eastAsia="Verdana" w:hAnsi="Verdana"/>
          <w:b w:val="1"/>
          <w:bCs w:val="1"/>
          <w:i w:val="1"/>
          <w:iCs w:val="1"/>
          <w:color w:val="212121"/>
          <w:sz w:val="18"/>
          <w:szCs w:val="18"/>
        </w:rPr>
      </w:pPr>
      <w:r w:rsidDel="00000000" w:rsidR="00000000" w:rsidRPr="00000000">
        <w:rPr>
          <w:rtl w:val="0"/>
        </w:rPr>
      </w:r>
    </w:p>
    <w:p w:rsidR="00000000" w:rsidDel="00000000" w:rsidP="00000000" w:rsidRDefault="00000000" w:rsidRPr="00000000" w14:paraId="00000021">
      <w:pPr>
        <w:pBdr>
          <w:top w:color="auto" w:space="0" w:sz="0" w:val="none"/>
          <w:bottom w:color="auto" w:space="0" w:sz="0" w:val="none"/>
          <w:right w:color="auto" w:space="0" w:sz="0" w:val="none"/>
          <w:between w:color="auto" w:space="0" w:sz="0" w:val="none"/>
        </w:pBdr>
        <w:spacing w:after="280" w:before="460" w:lineRule="auto"/>
        <w:rPr>
          <w:rFonts w:ascii="Verdana" w:cs="Verdana" w:eastAsia="Verdana" w:hAnsi="Verdana"/>
          <w:b w:val="1"/>
          <w:bCs w:val="1"/>
          <w:i w:val="1"/>
          <w:iCs w:val="1"/>
          <w:color w:val="212121"/>
          <w:sz w:val="18"/>
          <w:szCs w:val="18"/>
        </w:rPr>
      </w:pPr>
      <w:r w:rsidDel="00000000" w:rsidR="00000000" w:rsidRPr="00000000">
        <w:rPr>
          <w:rtl w:val="0"/>
        </w:rPr>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pacing w:after="280" w:before="280" w:line="408" w:lineRule="auto"/>
        <w:rPr>
          <w:rFonts w:ascii="Verdana" w:cs="Verdana" w:eastAsia="Verdana" w:hAnsi="Verdana"/>
          <w:b w:val="1"/>
          <w:bCs w:val="1"/>
          <w:i w:val="1"/>
          <w:iCs w:val="1"/>
          <w:color w:val="212121"/>
          <w:sz w:val="18"/>
          <w:szCs w:val="18"/>
        </w:rPr>
      </w:pPr>
      <w:r w:rsidDel="00000000" w:rsidR="00000000" w:rsidRPr="00000000">
        <w:rPr>
          <w:rFonts w:ascii="Verdana" w:cs="Verdana" w:eastAsia="Verdana" w:hAnsi="Verdana"/>
          <w:b w:val="1"/>
          <w:bCs w:val="1"/>
          <w:i w:val="1"/>
          <w:iCs w:val="1"/>
          <w:color w:val="212121"/>
          <w:sz w:val="18"/>
          <w:szCs w:val="18"/>
          <w:rtl w:val="0"/>
        </w:rPr>
        <w:t xml:space="preserve">Remedies for Breach of Covenants</w:t>
      </w:r>
    </w:p>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pacing w:after="280" w:before="280" w:line="408" w:lineRule="auto"/>
        <w:rPr>
          <w:rFonts w:ascii="Verdana" w:cs="Verdana" w:eastAsia="Verdana" w:hAnsi="Verdana"/>
          <w:color w:val="212121"/>
          <w:sz w:val="18"/>
          <w:szCs w:val="18"/>
        </w:rPr>
      </w:pPr>
      <w:r w:rsidDel="00000000" w:rsidR="00000000" w:rsidRPr="00000000">
        <w:rPr>
          <w:rFonts w:ascii="Verdana" w:cs="Verdana" w:eastAsia="Verdana" w:hAnsi="Verdana"/>
          <w:color w:val="212121"/>
          <w:sz w:val="18"/>
          <w:szCs w:val="18"/>
          <w:rtl w:val="0"/>
        </w:rPr>
        <w:t xml:space="preserve">Counsel will have wide latitude in drafting provisions in their client's agreements to address the remedies that will be available should there be a breach of a covenant. Some of the remedies more commonly used in commercial contracts to address a party's breach of a covenant include:</w:t>
      </w:r>
    </w:p>
    <w:p w:rsidR="00000000" w:rsidDel="00000000" w:rsidP="00000000" w:rsidRDefault="00000000" w:rsidRPr="00000000" w14:paraId="00000024">
      <w:pPr>
        <w:numPr>
          <w:ilvl w:val="0"/>
          <w:numId w:val="1"/>
        </w:numPr>
        <w:pBdr>
          <w:top w:color="auto" w:space="0" w:sz="0" w:val="none"/>
          <w:bottom w:color="auto" w:space="0" w:sz="0" w:val="none"/>
          <w:right w:color="auto" w:space="0" w:sz="0" w:val="none"/>
          <w:between w:color="auto" w:space="0" w:sz="0" w:val="none"/>
        </w:pBdr>
        <w:spacing w:after="0" w:afterAutospacing="0" w:before="280" w:lineRule="auto"/>
        <w:ind w:left="720" w:hanging="360"/>
      </w:pPr>
      <w:r w:rsidDel="00000000" w:rsidR="00000000" w:rsidRPr="00000000">
        <w:rPr>
          <w:rFonts w:ascii="Verdana" w:cs="Verdana" w:eastAsia="Verdana" w:hAnsi="Verdana"/>
          <w:color w:val="212121"/>
          <w:sz w:val="18"/>
          <w:szCs w:val="18"/>
          <w:rtl w:val="0"/>
        </w:rPr>
        <w:t xml:space="preserve">•</w:t>
      </w:r>
    </w:p>
    <w:p w:rsidR="00000000" w:rsidDel="00000000" w:rsidP="00000000" w:rsidRDefault="00000000" w:rsidRPr="00000000" w14:paraId="00000025">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Verdana" w:cs="Verdana" w:eastAsia="Verdana" w:hAnsi="Verdana"/>
          <w:color w:val="212121"/>
          <w:sz w:val="18"/>
          <w:szCs w:val="18"/>
          <w:rtl w:val="0"/>
        </w:rPr>
        <w:t xml:space="preserve">the right of the non-breaching party to receive indemnification from the breaching party;</w:t>
      </w:r>
    </w:p>
    <w:p w:rsidR="00000000" w:rsidDel="00000000" w:rsidP="00000000" w:rsidRDefault="00000000" w:rsidRPr="00000000" w14:paraId="00000026">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Verdana" w:cs="Verdana" w:eastAsia="Verdana" w:hAnsi="Verdana"/>
          <w:color w:val="212121"/>
          <w:sz w:val="18"/>
          <w:szCs w:val="18"/>
          <w:rtl w:val="0"/>
        </w:rPr>
        <w:t xml:space="preserve">•</w:t>
      </w:r>
    </w:p>
    <w:p w:rsidR="00000000" w:rsidDel="00000000" w:rsidP="00000000" w:rsidRDefault="00000000" w:rsidRPr="00000000" w14:paraId="00000027">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Verdana" w:cs="Verdana" w:eastAsia="Verdana" w:hAnsi="Verdana"/>
          <w:color w:val="212121"/>
          <w:sz w:val="18"/>
          <w:szCs w:val="18"/>
          <w:rtl w:val="0"/>
        </w:rPr>
        <w:t xml:space="preserve">the right of the non-breaching party to suspend and/or terminate the applicable agreement;</w:t>
      </w:r>
    </w:p>
    <w:p w:rsidR="00000000" w:rsidDel="00000000" w:rsidP="00000000" w:rsidRDefault="00000000" w:rsidRPr="00000000" w14:paraId="00000028">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Verdana" w:cs="Verdana" w:eastAsia="Verdana" w:hAnsi="Verdana"/>
          <w:color w:val="212121"/>
          <w:sz w:val="18"/>
          <w:szCs w:val="18"/>
          <w:rtl w:val="0"/>
        </w:rPr>
        <w:t xml:space="preserve">•</w:t>
      </w:r>
    </w:p>
    <w:p w:rsidR="00000000" w:rsidDel="00000000" w:rsidP="00000000" w:rsidRDefault="00000000" w:rsidRPr="00000000" w14:paraId="00000029">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Verdana" w:cs="Verdana" w:eastAsia="Verdana" w:hAnsi="Verdana"/>
          <w:color w:val="212121"/>
          <w:sz w:val="18"/>
          <w:szCs w:val="18"/>
          <w:rtl w:val="0"/>
        </w:rPr>
        <w:t xml:space="preserve">the right to receive monetary damages (which may involve liquidated damages if provided for in the agreement) and/or equitable relief (such as an injunction or a court order compelling specific performance by the breaching party); and</w:t>
      </w:r>
    </w:p>
    <w:p w:rsidR="00000000" w:rsidDel="00000000" w:rsidP="00000000" w:rsidRDefault="00000000" w:rsidRPr="00000000" w14:paraId="0000002A">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Verdana" w:cs="Verdana" w:eastAsia="Verdana" w:hAnsi="Verdana"/>
          <w:color w:val="212121"/>
          <w:sz w:val="18"/>
          <w:szCs w:val="18"/>
          <w:rtl w:val="0"/>
        </w:rPr>
        <w:t xml:space="preserve">•</w:t>
      </w:r>
    </w:p>
    <w:p w:rsidR="00000000" w:rsidDel="00000000" w:rsidP="00000000" w:rsidRDefault="00000000" w:rsidRPr="00000000" w14:paraId="0000002B">
      <w:pPr>
        <w:numPr>
          <w:ilvl w:val="0"/>
          <w:numId w:val="1"/>
        </w:numPr>
        <w:pBdr>
          <w:top w:color="auto" w:space="0" w:sz="0" w:val="none"/>
          <w:bottom w:color="auto" w:space="0" w:sz="0" w:val="none"/>
          <w:right w:color="auto" w:space="0" w:sz="0" w:val="none"/>
          <w:between w:color="auto" w:space="0" w:sz="0" w:val="none"/>
        </w:pBdr>
        <w:spacing w:after="280" w:before="0" w:beforeAutospacing="0" w:lineRule="auto"/>
        <w:ind w:left="720" w:hanging="360"/>
      </w:pPr>
      <w:r w:rsidDel="00000000" w:rsidR="00000000" w:rsidRPr="00000000">
        <w:rPr>
          <w:rFonts w:ascii="Verdana" w:cs="Verdana" w:eastAsia="Verdana" w:hAnsi="Verdana"/>
          <w:color w:val="212121"/>
          <w:sz w:val="18"/>
          <w:szCs w:val="18"/>
          <w:rtl w:val="0"/>
        </w:rPr>
        <w:t xml:space="preserve">the right to refuse performance of a particular obligation that would otherwise be required, such as providing that there will be no obligation for a buyer to make payment for undelivered goods (as the seller's covenant to deliver the goods was breached, which can be viewed as an unsatisfied condition to the buyer's payment obligation).</w:t>
      </w:r>
    </w:p>
    <w:p w:rsidR="00000000" w:rsidDel="00000000" w:rsidP="00000000" w:rsidRDefault="00000000" w:rsidRPr="00000000" w14:paraId="0000002C">
      <w:pPr>
        <w:pBdr>
          <w:top w:color="auto" w:space="0" w:sz="0" w:val="none"/>
          <w:bottom w:color="auto" w:space="0" w:sz="0" w:val="none"/>
          <w:right w:color="auto" w:space="0" w:sz="0" w:val="none"/>
          <w:between w:color="auto" w:space="0" w:sz="0" w:val="none"/>
        </w:pBdr>
        <w:spacing w:after="280" w:before="460" w:lineRule="auto"/>
        <w:rPr>
          <w:rFonts w:ascii="Verdana" w:cs="Verdana" w:eastAsia="Verdana" w:hAnsi="Verdana"/>
          <w:color w:val="212121"/>
          <w:sz w:val="18"/>
          <w:szCs w:val="18"/>
        </w:rPr>
      </w:pPr>
      <w:r w:rsidDel="00000000" w:rsidR="00000000" w:rsidRPr="00000000">
        <w:rPr>
          <w:rtl w:val="0"/>
        </w:rPr>
      </w:r>
    </w:p>
    <w:p w:rsidR="00000000" w:rsidDel="00000000" w:rsidP="00000000" w:rsidRDefault="00000000" w:rsidRPr="00000000" w14:paraId="0000002D">
      <w:pPr>
        <w:pBdr>
          <w:top w:color="auto" w:space="0" w:sz="0" w:val="none"/>
          <w:bottom w:color="auto" w:space="0" w:sz="0" w:val="none"/>
          <w:right w:color="auto" w:space="0" w:sz="0" w:val="none"/>
          <w:between w:color="auto" w:space="0" w:sz="0" w:val="none"/>
        </w:pBdr>
        <w:spacing w:after="280" w:before="460" w:lineRule="auto"/>
        <w:rPr>
          <w:rFonts w:ascii="Verdana" w:cs="Verdana" w:eastAsia="Verdana" w:hAnsi="Verdana"/>
          <w:color w:val="212121"/>
          <w:sz w:val="18"/>
          <w:szCs w:val="18"/>
        </w:rPr>
      </w:pPr>
      <w:r w:rsidDel="00000000" w:rsidR="00000000" w:rsidRPr="00000000">
        <w:rPr>
          <w:rtl w:val="0"/>
        </w:rPr>
      </w:r>
    </w:p>
    <w:p w:rsidR="00000000" w:rsidDel="00000000" w:rsidP="00000000" w:rsidRDefault="00000000" w:rsidRPr="00000000" w14:paraId="0000002E">
      <w:pPr>
        <w:pStyle w:val="Heading2"/>
        <w:pBdr>
          <w:top w:color="auto" w:space="0" w:sz="0" w:val="none"/>
          <w:bottom w:color="auto" w:space="0" w:sz="0" w:val="none"/>
          <w:right w:color="auto" w:space="0" w:sz="0" w:val="none"/>
          <w:between w:color="auto" w:space="0" w:sz="0" w:val="none"/>
        </w:pBdr>
        <w:spacing w:after="280" w:before="460" w:lineRule="auto"/>
        <w:rPr/>
      </w:pPr>
      <w:bookmarkStart w:colFirst="0" w:colLast="0" w:name="_bin9r8yytsmi" w:id="8"/>
      <w:bookmarkEnd w:id="8"/>
      <w:r w:rsidDel="00000000" w:rsidR="00000000" w:rsidRPr="00000000">
        <w:rPr>
          <w:rtl w:val="0"/>
        </w:rPr>
      </w:r>
    </w:p>
    <w:p w:rsidR="00000000" w:rsidDel="00000000" w:rsidP="00000000" w:rsidRDefault="00000000" w:rsidRPr="00000000" w14:paraId="0000002F">
      <w:pPr>
        <w:pStyle w:val="Heading2"/>
        <w:rPr/>
      </w:pPr>
      <w:bookmarkStart w:colFirst="0" w:colLast="0" w:name="_d724elvl5tx9" w:id="9"/>
      <w:bookmarkEnd w:id="9"/>
      <w:r w:rsidDel="00000000" w:rsidR="00000000" w:rsidRPr="00000000">
        <w:rPr>
          <w:rtl w:val="0"/>
        </w:rPr>
        <w:t xml:space="preserve"> </w:t>
      </w:r>
    </w:p>
    <w:sectPr>
      <w:headerReference r:id="rId8" w:type="default"/>
      <w:headerReference r:id="rId9" w:type="first"/>
      <w:footerReference r:id="rId10"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Verdana"/>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2">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0">
    <w:pPr>
      <w:pageBreakBefore w:val="0"/>
      <w:jc w:val="right"/>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1">
    <w:pPr>
      <w:spacing w:before="200" w:line="312" w:lineRule="auto"/>
      <w:ind w:left="5760" w:hanging="5760"/>
      <w:rPr/>
    </w:pPr>
    <w:r w:rsidDel="00000000" w:rsidR="00000000" w:rsidRPr="00000000">
      <w:rPr>
        <w:rFonts w:ascii="Proxima Nova" w:cs="Proxima Nova" w:eastAsia="Proxima Nova" w:hAnsi="Proxima Nova"/>
        <w:color w:val="353744"/>
      </w:rPr>
      <w:drawing>
        <wp:inline distB="114300" distT="114300" distL="114300" distR="114300">
          <wp:extent cx="1714302" cy="925513"/>
          <wp:effectExtent b="0" l="0" r="0" t="0"/>
          <wp:docPr id="1" name="image1.png"/>
          <a:graphic>
            <a:graphicData uri="http://schemas.openxmlformats.org/drawingml/2006/picture">
              <pic:pic>
                <pic:nvPicPr>
                  <pic:cNvPr id="0" name="image1.png"/>
                  <pic:cNvPicPr preferRelativeResize="0"/>
                </pic:nvPicPr>
                <pic:blipFill>
                  <a:blip r:embed="rId1"/>
                  <a:srcRect b="2233" l="0" r="0" t="0"/>
                  <a:stretch>
                    <a:fillRect/>
                  </a:stretch>
                </pic:blipFill>
                <pic:spPr>
                  <a:xfrm>
                    <a:off x="0" y="0"/>
                    <a:ext cx="1714302" cy="925513"/>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Verdana" w:cs="Verdana" w:eastAsia="Verdana" w:hAnsi="Verdana"/>
        <w:color w:val="212121"/>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36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Bdr>
        <w:top w:color="auto" w:space="0" w:sz="0" w:val="none"/>
        <w:left w:color="auto" w:space="0" w:sz="0" w:val="none"/>
        <w:bottom w:color="auto" w:space="0" w:sz="0" w:val="none"/>
        <w:right w:color="auto" w:space="0" w:sz="0" w:val="none"/>
        <w:between w:color="auto" w:space="0" w:sz="0" w:val="none"/>
      </w:pBdr>
      <w:spacing w:after="480" w:line="413.33327999999995" w:lineRule="auto"/>
    </w:pPr>
    <w:rPr>
      <w:rFonts w:ascii="Proxima Nova" w:cs="Proxima Nova" w:eastAsia="Proxima Nova" w:hAnsi="Proxima Nova"/>
      <w:b w:val="1"/>
      <w:bCs w:val="1"/>
      <w:color w:val="353744"/>
      <w:sz w:val="28"/>
      <w:szCs w:val="28"/>
    </w:rPr>
  </w:style>
  <w:style w:type="paragraph" w:styleId="Heading2">
    <w:name w:val="heading 2"/>
    <w:basedOn w:val="Normal"/>
    <w:next w:val="Normal"/>
    <w:pPr>
      <w:keepNext w:val="1"/>
      <w:keepLines w:val="1"/>
      <w:spacing w:after="240" w:before="240" w:line="240" w:lineRule="auto"/>
      <w:jc w:val="both"/>
    </w:pPr>
    <w:rPr>
      <w:rFonts w:ascii="Proxima Nova" w:cs="Proxima Nova" w:eastAsia="Proxima Nova" w:hAnsi="Proxima Nova"/>
      <w:b w:val="1"/>
      <w:bCs w:val="1"/>
      <w:color w:val="1d4771"/>
      <w:sz w:val="28"/>
      <w:szCs w:val="28"/>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before="320" w:line="240" w:lineRule="auto"/>
      <w:jc w:val="both"/>
    </w:pPr>
    <w:rPr>
      <w:rFonts w:ascii="Proxima Nova" w:cs="Proxima Nova" w:eastAsia="Proxima Nova" w:hAnsi="Proxima Nova"/>
      <w:color w:val="353744"/>
      <w:sz w:val="72"/>
      <w:szCs w:val="7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hyperlink" Target="https://advance.lexis.com/document/lpadocument/?pdmfid=1518425&amp;crid=f13b0978-e637-4f65-807f-5e2d3d27e01d&amp;pddocfullpath=%2Fshared%2Fdocument%2Fanalytical-materials-lpa-ca%2Furn%3AcontentItem%3A67NK-YY81-K0HK-20T3-00000-00&amp;pdcontentcomponentid=402959&amp;pdteaserkey=sr16&amp;pditab=allpods&amp;ecomp=L75g&amp;earg=sr16&amp;prid=eb66e7bd-b12a-4167-9c6a-6d099b597147#" TargetMode="External"/><Relationship Id="rId7" Type="http://schemas.openxmlformats.org/officeDocument/2006/relationships/hyperlink" Target="https://advance.lexis.com/document/lpadocument/?pdmfid=1518425&amp;crid=f13b0978-e637-4f65-807f-5e2d3d27e01d&amp;pddocfullpath=%2Fshared%2Fdocument%2Fanalytical-materials-lpa-ca%2Furn%3AcontentItem%3A67NK-YY81-K0HK-20T3-00000-00&amp;pdcontentcomponentid=402959&amp;pdteaserkey=sr16&amp;pditab=allpods&amp;ecomp=L75g&amp;earg=sr16&amp;prid=eb66e7bd-b12a-4167-9c6a-6d099b597147#" TargetMode="Externa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