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Matthew AJ Levine </w:t>
      </w:r>
    </w:p>
    <w:p w:rsidR="00000000" w:rsidDel="00000000" w:rsidP="00000000" w:rsidRDefault="00000000" w:rsidRPr="00000000" w14:paraId="00000002">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sz w:val="22"/>
          <w:szCs w:val="22"/>
          <w:rtl w:val="0"/>
        </w:rPr>
        <w:t xml:space="preserve">Professional Corporation</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x1qg1c30zmid" w:id="2"/>
      <w:bookmarkEnd w:id="2"/>
      <w:r w:rsidDel="00000000" w:rsidR="00000000" w:rsidRPr="00000000">
        <w:rPr>
          <w:rtl w:val="0"/>
        </w:rPr>
        <w:t xml:space="preserve">Contract Law -   Reps and warranties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eck9k9twed20" w:id="3"/>
      <w:bookmarkEnd w:id="3"/>
      <w:r w:rsidDel="00000000" w:rsidR="00000000" w:rsidRPr="00000000">
        <w:rPr>
          <w:rtl w:val="0"/>
        </w:rPr>
        <w:t xml:space="preserve">Adfaf</w:t>
      </w:r>
    </w:p>
    <w:p w:rsidR="00000000" w:rsidDel="00000000" w:rsidP="00000000" w:rsidRDefault="00000000" w:rsidRPr="00000000" w14:paraId="0000000D">
      <w:pPr>
        <w:pStyle w:val="Heading2"/>
        <w:rPr/>
      </w:pPr>
      <w:bookmarkStart w:colFirst="0" w:colLast="0" w:name="_gykvu0dk8lw7" w:id="4"/>
      <w:bookmarkEnd w:id="4"/>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327.27272727272725" w:lineRule="auto"/>
        <w:jc w:val="both"/>
        <w:rPr>
          <w:rFonts w:ascii="Times" w:cs="Times" w:eastAsia="Times" w:hAnsi="Times"/>
        </w:rPr>
      </w:pPr>
      <w:r w:rsidDel="00000000" w:rsidR="00000000" w:rsidRPr="00000000">
        <w:rPr>
          <w:rFonts w:ascii="Times" w:cs="Times" w:eastAsia="Times" w:hAnsi="Times"/>
          <w:rtl w:val="0"/>
        </w:rPr>
        <w:t xml:space="preserve">Terms addressing representations, warranties, covenants, rights and/or conditions are found in nearly all commercial agreements. Despite their prevalence, practitioners and contracting parties often do not fully appreciate the rights and obligations created by the use of these interrelated terms when included in their agreements. As failure to comply with such terms can result in a party being in breach of contract and subjected to significant liability, it is important for counsel to ensure that clients fully understand the nature of these terms, and that they are properly drafted in agreements to effectively memorialize the intent of their clients.</w:t>
      </w:r>
    </w:p>
    <w:p w:rsidR="00000000" w:rsidDel="00000000" w:rsidP="00000000" w:rsidRDefault="00000000" w:rsidRPr="00000000" w14:paraId="00000010">
      <w:pPr>
        <w:spacing w:line="327.27272727272725" w:lineRule="auto"/>
        <w:jc w:val="both"/>
        <w:rPr>
          <w:rFonts w:ascii="Times" w:cs="Times" w:eastAsia="Times" w:hAnsi="Times"/>
        </w:rPr>
      </w:pPr>
      <w:r w:rsidDel="00000000" w:rsidR="00000000" w:rsidRPr="00000000">
        <w:rPr>
          <w:rFonts w:ascii="Times" w:cs="Times" w:eastAsia="Times" w:hAnsi="Times"/>
          <w:rtl w:val="0"/>
        </w:rPr>
        <w:br w:type="textWrapping"/>
        <w:t xml:space="preserve">For further guidance regarding contract drafting, see the practice notes: Commercial Contract Drafting and Review and Contract Drafting and Review Resource Kit. For a discussion of the use of representations and warranties in the context of a loan transaction, see the practice note: Representations and Warranties. To guide employees on the use of representations and warranties clauses in a commercial contract, see: Representations and Warranties: Training Presentation. See also: Product Warranty and Disclaimers Clauses and Conditions Precedent Clause.</w:t>
      </w:r>
    </w:p>
    <w:p w:rsidR="00000000" w:rsidDel="00000000" w:rsidP="00000000" w:rsidRDefault="00000000" w:rsidRPr="00000000" w14:paraId="00000011">
      <w:pPr>
        <w:spacing w:line="327.27272727272725" w:lineRule="auto"/>
        <w:rPr>
          <w:rFonts w:ascii="Times" w:cs="Times" w:eastAsia="Times" w:hAnsi="Times"/>
          <w:b w:val="1"/>
          <w:bCs w:val="1"/>
        </w:rPr>
      </w:pPr>
      <w:r w:rsidDel="00000000" w:rsidR="00000000" w:rsidRPr="00000000">
        <w:rPr>
          <w:rFonts w:ascii="Times" w:cs="Times" w:eastAsia="Times" w:hAnsi="Times"/>
          <w:b w:val="1"/>
          <w:bCs w:val="1"/>
          <w:rtl w:val="0"/>
        </w:rPr>
        <w:t xml:space="preserve">Representations and Warranties</w:t>
      </w:r>
    </w:p>
    <w:p w:rsidR="00000000" w:rsidDel="00000000" w:rsidP="00000000" w:rsidRDefault="00000000" w:rsidRPr="00000000" w14:paraId="00000012">
      <w:pPr>
        <w:spacing w:line="327.27272727272725" w:lineRule="auto"/>
        <w:jc w:val="both"/>
        <w:rPr>
          <w:rFonts w:ascii="Times" w:cs="Times" w:eastAsia="Times" w:hAnsi="Times"/>
        </w:rPr>
      </w:pPr>
      <w:r w:rsidDel="00000000" w:rsidR="00000000" w:rsidRPr="00000000">
        <w:rPr>
          <w:rFonts w:ascii="Times" w:cs="Times" w:eastAsia="Times" w:hAnsi="Times"/>
          <w:b w:val="1"/>
          <w:bCs w:val="1"/>
          <w:rtl w:val="0"/>
        </w:rPr>
        <w:br w:type="textWrapping"/>
      </w:r>
      <w:r w:rsidDel="00000000" w:rsidR="00000000" w:rsidRPr="00000000">
        <w:rPr>
          <w:rFonts w:ascii="Times" w:cs="Times" w:eastAsia="Times" w:hAnsi="Times"/>
          <w:rtl w:val="0"/>
        </w:rPr>
        <w:t xml:space="preserve">A representation is an assertion of fact given by one party to a transaction to the other party that is true as of the date such assertion is made. It is provided in order to induce the recipient to enter into the agreement. If the representation is misleading or inaccurate, then it is false. A false representation may constitute a material breach of the agreement and may entitle the recipient to compensation for any damages incurred in connection therewith.</w:t>
      </w:r>
    </w:p>
    <w:p w:rsidR="00000000" w:rsidDel="00000000" w:rsidP="00000000" w:rsidRDefault="00000000" w:rsidRPr="00000000" w14:paraId="00000013">
      <w:pPr>
        <w:spacing w:line="327.27272727272725" w:lineRule="auto"/>
        <w:jc w:val="both"/>
        <w:rPr>
          <w:rFonts w:ascii="Times" w:cs="Times" w:eastAsia="Times" w:hAnsi="Times"/>
        </w:rPr>
      </w:pPr>
      <w:r w:rsidDel="00000000" w:rsidR="00000000" w:rsidRPr="00000000">
        <w:rPr>
          <w:rFonts w:ascii="Times" w:cs="Times" w:eastAsia="Times" w:hAnsi="Times"/>
          <w:rtl w:val="0"/>
        </w:rPr>
        <w:br w:type="textWrapping"/>
        <w:t xml:space="preserve">A warranty is a promise that an assertion of fact, </w:t>
      </w:r>
      <w:r w:rsidDel="00000000" w:rsidR="00000000" w:rsidRPr="00000000">
        <w:rPr>
          <w:rFonts w:ascii="Times" w:cs="Times" w:eastAsia="Times" w:hAnsi="Times"/>
          <w:i w:val="1"/>
          <w:iCs w:val="1"/>
          <w:rtl w:val="0"/>
        </w:rPr>
        <w:t xml:space="preserve">i.e.</w:t>
      </w:r>
      <w:r w:rsidDel="00000000" w:rsidR="00000000" w:rsidRPr="00000000">
        <w:rPr>
          <w:rFonts w:ascii="Times" w:cs="Times" w:eastAsia="Times" w:hAnsi="Times"/>
          <w:rtl w:val="0"/>
        </w:rPr>
        <w:t xml:space="preserve">, a representation, is true. If a contractual warranty is not true, the party that provided the warranty will have breached the applicable agreement and the recipient may be entitled to compensation for any damages incurred in connection therewith.</w:t>
      </w:r>
    </w:p>
    <w:p w:rsidR="00000000" w:rsidDel="00000000" w:rsidP="00000000" w:rsidRDefault="00000000" w:rsidRPr="00000000" w14:paraId="00000014">
      <w:pPr>
        <w:spacing w:line="327.27272727272725" w:lineRule="auto"/>
        <w:jc w:val="both"/>
        <w:rPr>
          <w:rFonts w:ascii="Times" w:cs="Times" w:eastAsia="Times" w:hAnsi="Times"/>
        </w:rPr>
      </w:pPr>
      <w:r w:rsidDel="00000000" w:rsidR="00000000" w:rsidRPr="00000000">
        <w:rPr>
          <w:rFonts w:ascii="Times" w:cs="Times" w:eastAsia="Times" w:hAnsi="Times"/>
          <w:rtl w:val="0"/>
        </w:rPr>
        <w:br w:type="textWrapping"/>
        <w:t xml:space="preserve">Warranties can sometimes arise informally, based upon the service or product descriptions, advertising, and/or sales representations, or attach to a sale by applicable law, such as the implied warranties of merchantability and fitness for a particular purpose set forth in applicable provincial sale of goods legislation (see, for example, Ontario </w:t>
      </w:r>
      <w:r w:rsidDel="00000000" w:rsidR="00000000" w:rsidRPr="00000000">
        <w:rPr>
          <w:rFonts w:ascii="Times" w:cs="Times" w:eastAsia="Times" w:hAnsi="Times"/>
          <w:i w:val="1"/>
          <w:iCs w:val="1"/>
          <w:rtl w:val="0"/>
        </w:rPr>
        <w:t xml:space="preserve">Sale of Goods Act</w:t>
      </w:r>
      <w:r w:rsidDel="00000000" w:rsidR="00000000" w:rsidRPr="00000000">
        <w:rPr>
          <w:rFonts w:ascii="Times" w:cs="Times" w:eastAsia="Times" w:hAnsi="Times"/>
          <w:rtl w:val="0"/>
        </w:rPr>
        <w:t xml:space="preserve">, R.S.O. 1990, c. S.1, s. 15).</w:t>
      </w:r>
    </w:p>
    <w:p w:rsidR="00000000" w:rsidDel="00000000" w:rsidP="00000000" w:rsidRDefault="00000000" w:rsidRPr="00000000" w14:paraId="00000015">
      <w:pPr>
        <w:spacing w:line="327.27272727272725" w:lineRule="auto"/>
        <w:jc w:val="both"/>
        <w:rPr>
          <w:rFonts w:ascii="Times" w:cs="Times" w:eastAsia="Times" w:hAnsi="Times"/>
        </w:rPr>
      </w:pPr>
      <w:r w:rsidDel="00000000" w:rsidR="00000000" w:rsidRPr="00000000">
        <w:rPr>
          <w:rFonts w:ascii="Times" w:cs="Times" w:eastAsia="Times" w:hAnsi="Times"/>
          <w:rtl w:val="0"/>
        </w:rPr>
        <w:br w:type="textWrapping"/>
        <w:t xml:space="preserve">It is standard practice to include a representations and warranties clause in an agreement where the terms are used interchangeably, and the representations and warranties are jointly given by each party to the other, such as "The parties hereto each represent and warrant to the other as follows." Courts generally view the two as one and the same, despite their technical differences.</w:t>
      </w:r>
    </w:p>
    <w:p w:rsidR="00000000" w:rsidDel="00000000" w:rsidP="00000000" w:rsidRDefault="00000000" w:rsidRPr="00000000" w14:paraId="000000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Standard Representations and Warranties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Many commercial agreements include various representations and warranties that either one or both parties make to the other. Some common representations and warranties that are mutually made include the following:</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Each party has the legal right to enter into the agreement and perform the undertakings contained therein.</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Each party is duly incorporated, organized and in good standing under the laws of a particular jurisdiction and/or any jurisdiction in which it does business (or, alternatively, any jurisdiction in which it will perform the agreement) and/or any applicable foreign territory.</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There are no conflicting agreements that might preclude or limit a party from performing the agreement or that might interfere or be inconsistent with the agreement.</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Each party's solvency and financial condition.</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Neither party is subject to any pending or threatened litigation that might impact its solvency or ability to perform the agreement. As entities are frequently subject to some form of litigation, the mere existence of any litigation claim should not prevent parties from proceeding with an agreement. Counsel can use a dollar threshold in this representation to carve out smaller claims that will not significantly impact the party regardless of its outcome, such as a representation that there is no litigation in which the party's exposure is in excess of $100,000. If any litigation claims exist, they can be set forth in the agreement, with language that other than the listed claims there is no other pending or threatened litigation.</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The person signing the agreement on behalf of the party is duly authorized to enter into the agreement and bind the party, and that no further proof of authorization will be required.</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All corporate approvals necessary to enter into the agreement have been obtained (such as board of director approval).</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Each party's promise to carry on its operations and fulfill its contractual obligations in compliance with all applicable laws, rules, and regulations.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above representations and warranties are considered standard and (some or all) are often included in commercial contracts on a mutual basis, with little or no negotiation. Nonetheless, counsel should review each representation with the client and confirm they are acceptable and can be made.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standard representation and warranty clauses, see the precedent: </w:t>
      </w:r>
      <w:hyperlink r:id="rId6">
        <w:r w:rsidDel="00000000" w:rsidR="00000000" w:rsidRPr="00000000">
          <w:rPr>
            <w:rFonts w:ascii="Verdana" w:cs="Verdana" w:eastAsia="Verdana" w:hAnsi="Verdana"/>
            <w:color w:val="006ebb"/>
            <w:sz w:val="18"/>
            <w:szCs w:val="18"/>
            <w:u w:val="single"/>
            <w:rtl w:val="0"/>
          </w:rPr>
          <w:t xml:space="preserve">Representations and Warranties Clauses</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Specific Representations and Warranties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Beyond standard representations and warranties, parties to commercial contacts frequently will provide specific representations and warranties to the other party, which are based on the particular subject matter and nature of the parties' agreement. For example, sellers will often provide representations and warranties in connection with the goods and/or services they provide. Representations and warranties that sellers commonly provide with respect to their products concern matters addressing the quality, use, sufficiency, condition, functionality, performance levels, noninfringement of third-party intellectual property ("IP") rights, good title, and freedom from liens.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Buyers often provide representations and warranties with respect to their use of the goods and/or services received, such as with respect to their use and/or transfer of the applicable service or product.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merger and acquisition ("M&amp;A") and loan transactions, representations and warranties are frequently made regarding the borrower's financial status; the borrower/parties' financial statements; and with respect to the assets being transferred pursuant to the transaction.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Purposes of Representations and Warranties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Including representations and warranties in an agreement can serve many purposes and provide clients with critical rights, including:</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jc w:val="both"/>
      </w:pPr>
      <w:r w:rsidDel="00000000" w:rsidR="00000000" w:rsidRPr="00000000">
        <w:rPr>
          <w:rFonts w:ascii="Verdana" w:cs="Verdana" w:eastAsia="Verdana" w:hAnsi="Verdana"/>
          <w:color w:val="212121"/>
          <w:sz w:val="18"/>
          <w:szCs w:val="18"/>
          <w:rtl w:val="0"/>
        </w:rPr>
        <w:t xml:space="preserve">• risk and loss allocation;</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pPr>
      <w:r w:rsidDel="00000000" w:rsidR="00000000" w:rsidRPr="00000000">
        <w:rPr>
          <w:rFonts w:ascii="Verdana" w:cs="Verdana" w:eastAsia="Verdana" w:hAnsi="Verdana"/>
          <w:color w:val="212121"/>
          <w:sz w:val="18"/>
          <w:szCs w:val="18"/>
          <w:rtl w:val="0"/>
        </w:rPr>
        <w:t xml:space="preserve">• creating a legal basis for damages or equitable relief;</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pPr>
      <w:r w:rsidDel="00000000" w:rsidR="00000000" w:rsidRPr="00000000">
        <w:rPr>
          <w:rFonts w:ascii="Verdana" w:cs="Verdana" w:eastAsia="Verdana" w:hAnsi="Verdana"/>
          <w:color w:val="212121"/>
          <w:sz w:val="18"/>
          <w:szCs w:val="18"/>
          <w:rtl w:val="0"/>
        </w:rPr>
        <w:t xml:space="preserve">• establishing the parties' indemnification rights and obligations  </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pPr>
      <w:r w:rsidDel="00000000" w:rsidR="00000000" w:rsidRPr="00000000">
        <w:rPr>
          <w:rFonts w:ascii="Verdana" w:cs="Verdana" w:eastAsia="Verdana" w:hAnsi="Verdana"/>
          <w:color w:val="212121"/>
          <w:sz w:val="18"/>
          <w:szCs w:val="18"/>
          <w:rtl w:val="0"/>
        </w:rPr>
        <w:t xml:space="preserve">• providing an inducement for a party or parties to enter into an agreement;</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pPr>
      <w:r w:rsidDel="00000000" w:rsidR="00000000" w:rsidRPr="00000000">
        <w:rPr>
          <w:rFonts w:ascii="Verdana" w:cs="Verdana" w:eastAsia="Verdana" w:hAnsi="Verdana"/>
          <w:color w:val="212121"/>
          <w:sz w:val="18"/>
          <w:szCs w:val="18"/>
          <w:rtl w:val="0"/>
        </w:rPr>
        <w:t xml:space="preserve">• exchanging material information, and thereby limiting each party's respective liability in connection with the other party's false or unreasonable expectations; and</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jc w:val="both"/>
      </w:pPr>
      <w:r w:rsidDel="00000000" w:rsidR="00000000" w:rsidRPr="00000000">
        <w:rPr>
          <w:rFonts w:ascii="Verdana" w:cs="Verdana" w:eastAsia="Verdana" w:hAnsi="Verdana"/>
          <w:color w:val="212121"/>
          <w:sz w:val="18"/>
          <w:szCs w:val="18"/>
          <w:rtl w:val="0"/>
        </w:rPr>
        <w:t xml:space="preserve">• providing grounds for the suspension and/or termination of an agreement if the representations and warranties are materially breached (if and to the extent such remedies are provided in the agreement).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Counsel should carefully review all of the representations and warranties contained in a client's agreement and ensure that they are consistent with one another.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Counsel should confirm that the representations and warranties are also consistent with other contract terms, including terms addressing indemnifications, covenants and rights, and conditions.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poi0qstx7msb" w:id="5"/>
      <w:bookmarkEnd w:id="5"/>
      <w:r w:rsidDel="00000000" w:rsidR="00000000" w:rsidRPr="00000000">
        <w:rPr>
          <w:rtl w:val="0"/>
        </w:rPr>
      </w:r>
    </w:p>
    <w:p w:rsidR="00000000" w:rsidDel="00000000" w:rsidP="00000000" w:rsidRDefault="00000000" w:rsidRPr="00000000" w14:paraId="0000003D">
      <w:pPr>
        <w:pStyle w:val="Heading2"/>
        <w:rPr/>
      </w:pPr>
      <w:bookmarkStart w:colFirst="0" w:colLast="0" w:name="_xsm4n86r32vc" w:id="6"/>
      <w:bookmarkEnd w:id="6"/>
      <w:r w:rsidDel="00000000" w:rsidR="00000000" w:rsidRPr="00000000">
        <w:rPr>
          <w:rtl w:val="0"/>
        </w:rPr>
      </w:r>
    </w:p>
    <w:p w:rsidR="00000000" w:rsidDel="00000000" w:rsidP="00000000" w:rsidRDefault="00000000" w:rsidRPr="00000000" w14:paraId="0000003E">
      <w:pPr>
        <w:pStyle w:val="Heading2"/>
        <w:rPr/>
      </w:pPr>
      <w:bookmarkStart w:colFirst="0" w:colLast="0" w:name="_1rhyn49drkxc" w:id="7"/>
      <w:bookmarkEnd w:id="7"/>
      <w:r w:rsidDel="00000000" w:rsidR="00000000" w:rsidRPr="00000000">
        <w:rPr>
          <w:rtl w:val="0"/>
        </w:rPr>
        <w:t xml:space="preserve">Qualifications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37oe4hqlo6fh" w:id="8"/>
      <w:bookmarkEnd w:id="8"/>
      <w:r w:rsidDel="00000000" w:rsidR="00000000" w:rsidRPr="00000000">
        <w:rPr>
          <w:rtl w:val="0"/>
        </w:rPr>
        <w:t xml:space="preserve">Knowledge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yqphty5ucjgj" w:id="9"/>
      <w:bookmarkEnd w:id="9"/>
      <w:r w:rsidDel="00000000" w:rsidR="00000000" w:rsidRPr="00000000">
        <w:rPr>
          <w:rtl w:val="0"/>
        </w:rPr>
        <w:t xml:space="preserve">issue</w:t>
      </w:r>
    </w:p>
    <w:p w:rsidR="00000000" w:rsidDel="00000000" w:rsidP="00000000" w:rsidRDefault="00000000" w:rsidRPr="00000000" w14:paraId="00000046">
      <w:pPr>
        <w:spacing w:after="0" w:before="0" w:lineRule="auto"/>
        <w:rPr/>
      </w:pPr>
      <w:r w:rsidDel="00000000" w:rsidR="00000000" w:rsidRPr="00000000">
        <w:rPr>
          <w:rtl w:val="0"/>
        </w:rPr>
        <w:t xml:space="preserve"> </w:t>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When a representation or warranty is being qualified by knowledge, it is important to establish the level of "knowledge" necessary for the qualifier to work. The knowledge definition is most often defined as either a narrower, pro-vendor "actual knowledge" standard, or a broader, pro-purchaser "constructive knowledge" standard.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Vendor will prefer to limit "knowledge" of an individual to actual knowledge only - that is, in order to be in breach of the representation, Vendor must actually know that the representation is false. Purchaser will prefer to extend the "knowledge" of an individual to include both actual and "constructive" knowledge (i.e., knowledge of a fact or matter that the individual is deemed to have, even though such individual does not have actual knowledge of such fact or matter). The concept of constructive knowledgeis usually linked to knowledge that such individual could have acquired (or could have reasonably acquired) during the ordinary course of performance of such individual's responsibilities to Vendor, after reasonable inquiry and investigation into such fact or matter.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pro-purchaser approach would be to include more than one of these nuances in the concept of constructive knowledge. The dual requirement of inquiry and investigation is intended to provide that it is not enough for an executive officer to make a phone call to a person with information regarding a certain matter and seek confirmation of Vendor and Vendor's knowledge or lack thereof with respect to a matter. There must be, if appropriate under the circumstances, some investigation to ascertain with a measure of diligence what information is within the possession of the relevant operations personnel of Vendor.</w:t>
      </w:r>
    </w:p>
    <w:p w:rsidR="00000000" w:rsidDel="00000000" w:rsidP="00000000" w:rsidRDefault="00000000" w:rsidRPr="00000000" w14:paraId="00000051">
      <w:pPr>
        <w:rPr/>
      </w:pPr>
      <w:r w:rsidDel="00000000" w:rsidR="00000000" w:rsidRPr="00000000">
        <w:rPr>
          <w:rtl w:val="0"/>
        </w:rPr>
        <w:t xml:space="preserve">Proving actual knowledge of a party will be extremely difficult, short of an admission by the representing party. Moreover, if the parties agree to an actual knowledge standard that does not require the representing party to perform due inquiry, the representing party will have little incentive to perform further investigations or obtain updated data on its business and financial condition for fear of compromising its knowledge qualifications prior to closing.</w:t>
      </w:r>
    </w:p>
    <w:p w:rsidR="00000000" w:rsidDel="00000000" w:rsidP="00000000" w:rsidRDefault="00000000" w:rsidRPr="00000000" w14:paraId="00000052">
      <w:pPr>
        <w:rPr/>
      </w:pPr>
      <w:r w:rsidDel="00000000" w:rsidR="00000000" w:rsidRPr="00000000">
        <w:rPr>
          <w:rtl w:val="0"/>
        </w:rPr>
        <w:t xml:space="preserve">• Another component of the definition of "knowledge" is determining whose knowledge will be imputed to the knowledge of the representing party. Typically, the knowledge of the representing party will be that of its officers, directors, employees, and agents. The representing party will want to limit the universe of "knowledge persons" to senior or key officers and employees or a list of specified persons. The appropriate knowledge persons will be dictated by the nature of the representing party's business and management structure and the content of the representations and warranties qualified by knowledge.</w:t>
      </w:r>
    </w:p>
    <w:p w:rsidR="00000000" w:rsidDel="00000000" w:rsidP="00000000" w:rsidRDefault="00000000" w:rsidRPr="00000000" w14:paraId="00000053">
      <w:pPr>
        <w:rPr/>
      </w:pPr>
      <w:r w:rsidDel="00000000" w:rsidR="00000000" w:rsidRPr="00000000">
        <w:rPr>
          <w:rtl w:val="0"/>
        </w:rPr>
        <w:t xml:space="preserve">In this precedent, Vendor should include the names of the specific officers to whom actual knowledge should be imputed in the disclosure schedule. A short list of officers benefits Vendor. Purchaser, on the other hand, would try to expand this list in the negotiations.</w:t>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pStyle w:val="Heading2"/>
        <w:rPr/>
      </w:pPr>
      <w:bookmarkStart w:colFirst="0" w:colLast="0" w:name="_lzu2fqhmgvs4" w:id="10"/>
      <w:bookmarkEnd w:id="10"/>
      <w:r w:rsidDel="00000000" w:rsidR="00000000" w:rsidRPr="00000000">
        <w:rPr>
          <w:rtl w:val="0"/>
        </w:rPr>
      </w:r>
    </w:p>
    <w:p w:rsidR="00000000" w:rsidDel="00000000" w:rsidP="00000000" w:rsidRDefault="00000000" w:rsidRPr="00000000" w14:paraId="00000057">
      <w:pPr>
        <w:pStyle w:val="Heading3"/>
        <w:rPr/>
      </w:pPr>
      <w:bookmarkStart w:colFirst="0" w:colLast="0" w:name="_i3y928c9alcd" w:id="11"/>
      <w:bookmarkEnd w:id="11"/>
      <w:r w:rsidDel="00000000" w:rsidR="00000000" w:rsidRPr="00000000">
        <w:rPr>
          <w:rtl w:val="0"/>
        </w:rPr>
        <w:t xml:space="preserve">Drafting tactics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vhgf3svt8ze1" w:id="12"/>
      <w:bookmarkEnd w:id="12"/>
      <w:r w:rsidDel="00000000" w:rsidR="00000000" w:rsidRPr="00000000">
        <w:rPr>
          <w:rtl w:val="0"/>
        </w:rPr>
        <w:t xml:space="preserve">Breach </w:t>
      </w:r>
    </w:p>
    <w:p w:rsidR="00000000" w:rsidDel="00000000" w:rsidP="00000000" w:rsidRDefault="00000000" w:rsidRPr="00000000" w14:paraId="0000005B">
      <w:pPr>
        <w:pStyle w:val="Heading2"/>
        <w:rPr/>
      </w:pPr>
      <w:bookmarkStart w:colFirst="0" w:colLast="0" w:name="_juaoocgbeg72" w:id="13"/>
      <w:bookmarkEnd w:id="13"/>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lqit2pjcogxi" w:id="14"/>
      <w:bookmarkEnd w:id="14"/>
      <w:r w:rsidDel="00000000" w:rsidR="00000000" w:rsidRPr="00000000">
        <w:rPr>
          <w:rtl w:val="0"/>
        </w:rPr>
        <w:t xml:space="preserve">Damages</w:t>
      </w:r>
    </w:p>
    <w:p w:rsidR="00000000" w:rsidDel="00000000" w:rsidP="00000000" w:rsidRDefault="00000000" w:rsidRPr="00000000" w14:paraId="0000005F">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dvance.lexis.com/document/lpadocument/?pdmfid=1518425&amp;crid=f13b0978-e637-4f65-807f-5e2d3d27e01d&amp;pddocfullpath=%2Fshared%2Fdocument%2Fanalytical-materials-lpa-ca%2Furn%3AcontentItem%3A67NK-YY81-K0HK-20T3-00000-00&amp;pdcontentcomponentid=402959&amp;pdteaserkey=sr16&amp;pditab=allpods&amp;ecomp=L75g&amp;earg=sr16&amp;prid=eb66e7bd-b12a-4167-9c6a-6d099b597147#"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