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after="0" w:before="0" w:line="240" w:lineRule="auto"/>
        <w:jc w:val="both"/>
        <w:rPr>
          <w:rFonts w:ascii="Times New Roman" w:cs="Times New Roman" w:eastAsia="Times New Roman" w:hAnsi="Times New Roman"/>
          <w:b w:val="1"/>
          <w:bCs w:val="1"/>
          <w:color w:val="08122b"/>
          <w:sz w:val="22"/>
          <w:szCs w:val="22"/>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sz w:val="22"/>
          <w:szCs w:val="22"/>
          <w:rtl w:val="0"/>
        </w:rPr>
        <w:t xml:space="preserve">Levine Professional Corporation</w:t>
      </w:r>
    </w:p>
    <w:p w:rsidR="00000000" w:rsidDel="00000000" w:rsidP="00000000" w:rsidRDefault="00000000" w:rsidRPr="00000000" w14:paraId="00000002">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3">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4">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5">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6">
      <w:pPr>
        <w:spacing w:line="240" w:lineRule="auto"/>
        <w:jc w:val="both"/>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07">
      <w:pPr>
        <w:pStyle w:val="Title"/>
        <w:jc w:val="both"/>
        <w:rPr>
          <w:rFonts w:ascii="Verdana" w:cs="Verdana" w:eastAsia="Verdana" w:hAnsi="Verdana"/>
          <w:color w:val="212121"/>
          <w:sz w:val="18"/>
          <w:szCs w:val="18"/>
        </w:rPr>
      </w:pPr>
      <w:bookmarkStart w:colFirst="0" w:colLast="0" w:name="_x1qg1c30zmid" w:id="1"/>
      <w:bookmarkEnd w:id="1"/>
      <w:r w:rsidDel="00000000" w:rsidR="00000000" w:rsidRPr="00000000">
        <w:rPr>
          <w:rtl w:val="0"/>
        </w:rPr>
        <w:t xml:space="preserve">Contract Law Practice </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bookmarkStart w:colFirst="0" w:colLast="0" w:name="_eck9k9twed20" w:id="2"/>
      <w:bookmarkEnd w:id="2"/>
      <w:r w:rsidDel="00000000" w:rsidR="00000000" w:rsidRPr="00000000">
        <w:rPr>
          <w:rtl w:val="0"/>
        </w:rPr>
        <w:t xml:space="preserve">Covenants </w:t>
      </w:r>
    </w:p>
    <w:p w:rsidR="00000000" w:rsidDel="00000000" w:rsidP="00000000" w:rsidRDefault="00000000" w:rsidRPr="00000000" w14:paraId="0000000A">
      <w:pPr>
        <w:pStyle w:val="Heading2"/>
        <w:rPr/>
      </w:pPr>
      <w:bookmarkStart w:colFirst="0" w:colLast="0" w:name="_lqit2pjcogxi" w:id="3"/>
      <w:bookmarkEnd w:id="3"/>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rPr/>
      </w:pPr>
      <w:bookmarkStart w:colFirst="0" w:colLast="0" w:name="_vhgf3svt8ze1" w:id="4"/>
      <w:bookmarkEnd w:id="4"/>
      <w:r w:rsidDel="00000000" w:rsidR="00000000" w:rsidRPr="00000000">
        <w:rPr>
          <w:rtl w:val="0"/>
        </w:rPr>
        <w:t xml:space="preserve">Breach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pPr>
      <w:bookmarkStart w:colFirst="0" w:colLast="0" w:name="_ltt8naapm689" w:id="5"/>
      <w:bookmarkEnd w:id="5"/>
      <w:r w:rsidDel="00000000" w:rsidR="00000000" w:rsidRPr="00000000">
        <w:rPr>
          <w:rtl w:val="0"/>
        </w:rPr>
        <w:t xml:space="preserve">Damages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bookmarkStart w:colFirst="0" w:colLast="0" w:name="_tw1prkomiinz" w:id="6"/>
      <w:bookmarkEnd w:id="6"/>
      <w:r w:rsidDel="00000000" w:rsidR="00000000" w:rsidRPr="00000000">
        <w:rPr>
          <w:rtl w:val="0"/>
        </w:rPr>
        <w:t xml:space="preserve">Remedies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rPr/>
      </w:pPr>
      <w:bookmarkStart w:colFirst="0" w:colLast="0" w:name="_v09og1qzbg0w" w:id="7"/>
      <w:bookmarkEnd w:id="7"/>
      <w:r w:rsidDel="00000000" w:rsidR="00000000" w:rsidRPr="00000000">
        <w:rPr>
          <w:rtl w:val="0"/>
        </w:rPr>
        <w:t xml:space="preserve">Remedies for Breach of Representations and Warranties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Some or all of the following remedies are generally available to address a party's breach of its representations and warranties provided in commercial contract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(1) the right (of the non-breaching party) to receive indemnification from the breaching party,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(2) the right to suspend and/or terminate the applicable agreement,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(3) the right to receive monetary damages (which may involve punitive damages or liquidated damages) and/or equitable relief; and</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(4) the right to refuse performance of a particular obligation that would otherwise be required.</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Certain jurisdictions require an aggrieved party to provide proof of actual reliance in order to recover for a breach of representation and warranties, while others do not. Canadian courts have been somewhat inconsistent in their approach to an aggrieved party's ability to bring a claim even if they </w:t>
      </w:r>
      <w:r w:rsidDel="00000000" w:rsidR="00000000" w:rsidRPr="00000000">
        <w:rPr>
          <w:color w:val="212121"/>
          <w:sz w:val="18"/>
          <w:szCs w:val="18"/>
          <w:rtl w:val="0"/>
        </w:rPr>
        <w:t xml:space="preserve">had actual </w:t>
      </w:r>
      <w:r w:rsidDel="00000000" w:rsidR="00000000" w:rsidRPr="00000000">
        <w:rPr>
          <w:color w:val="212121"/>
          <w:sz w:val="18"/>
          <w:szCs w:val="18"/>
          <w:rtl w:val="0"/>
        </w:rPr>
        <w:t xml:space="preserve">knowledge</w:t>
      </w:r>
      <w:r w:rsidDel="00000000" w:rsidR="00000000" w:rsidRPr="00000000">
        <w:rPr>
          <w:color w:val="212121"/>
          <w:sz w:val="18"/>
          <w:szCs w:val="18"/>
          <w:rtl w:val="0"/>
        </w:rPr>
        <w:t xml:space="preserve"> </w:t>
      </w:r>
      <w:r w:rsidDel="00000000" w:rsidR="00000000" w:rsidRPr="00000000">
        <w:rPr>
          <w:rFonts w:ascii="Verdana" w:cs="Verdana" w:eastAsia="Verdana" w:hAnsi="Verdana"/>
          <w:color w:val="212121"/>
          <w:sz w:val="18"/>
          <w:szCs w:val="18"/>
          <w:rtl w:val="0"/>
        </w:rPr>
        <w:t xml:space="preserve">that a representation and warranty was inaccurate. In the U.S., Delaware does not require an aggrieved party to show reliance in order to successfully assert a breach of contract claim; California has required an aggrieved party to demonstrate that it relied on the truth of a representation in order to bring a successful breach of warranty claim; and New York takes a hybrid approach — if an aggrieved buyer can show it was purchasing based on the truth of a warranty, the buyer may be able to recover. Practitioners therefore need to understand the laws of the applicable jurisdiction that will govern the agreement, including its conflict of laws rules, in order to ensure that the client receives the rights and protections as intended.</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b w:val="1"/>
          <w:bCs w:val="1"/>
          <w:i w:val="1"/>
          <w:iCs w:val="1"/>
          <w:color w:val="212121"/>
          <w:sz w:val="18"/>
          <w:szCs w:val="18"/>
        </w:rPr>
      </w:pPr>
      <w:r w:rsidDel="00000000" w:rsidR="00000000" w:rsidRPr="00000000">
        <w:rPr>
          <w:rFonts w:ascii="Verdana" w:cs="Verdana" w:eastAsia="Verdana" w:hAnsi="Verdana"/>
          <w:b w:val="1"/>
          <w:bCs w:val="1"/>
          <w:i w:val="1"/>
          <w:iCs w:val="1"/>
          <w:color w:val="212121"/>
          <w:sz w:val="18"/>
          <w:szCs w:val="18"/>
          <w:rtl w:val="0"/>
        </w:rPr>
        <w:t xml:space="preserve">Limitations on Representations and Warranties</w:t>
      </w:r>
    </w:p>
    <w:p w:rsidR="00000000" w:rsidDel="00000000" w:rsidP="00000000" w:rsidRDefault="00000000" w:rsidRPr="00000000" w14:paraId="00000023">
      <w:pPr>
        <w:rPr>
          <w:rFonts w:ascii="Verdana" w:cs="Verdana" w:eastAsia="Verdana" w:hAnsi="Verdana"/>
          <w:color w:val="212121"/>
          <w:sz w:val="18"/>
          <w:szCs w:val="18"/>
        </w:rPr>
      </w:pPr>
      <w:r w:rsidDel="00000000" w:rsidR="00000000" w:rsidRPr="00000000">
        <w:rPr>
          <w:rtl w:val="0"/>
        </w:rPr>
        <w:t xml:space="preserve">As a breach of a party's representations and warranties can subject it to liability and potentially significant damages, it is usually in the best interest of a contracting party to limit the scope of the representations and warranties that it provides. Representations and warranties can be restricted in various manners, including:</w:t>
      </w:r>
      <w:r w:rsidDel="00000000" w:rsidR="00000000" w:rsidRPr="00000000">
        <w:rPr>
          <w:rtl w:val="0"/>
        </w:rPr>
      </w:r>
    </w:p>
    <w:p w:rsidR="00000000" w:rsidDel="00000000" w:rsidP="00000000" w:rsidRDefault="00000000" w:rsidRPr="00000000" w14:paraId="00000024">
      <w:pPr>
        <w:numPr>
          <w:ilvl w:val="0"/>
          <w:numId w:val="1"/>
        </w:numPr>
        <w:spacing w:after="0" w:afterAutospacing="0"/>
        <w:ind w:left="720" w:hanging="360"/>
        <w:jc w:val="both"/>
      </w:pPr>
      <w:r w:rsidDel="00000000" w:rsidR="00000000" w:rsidRPr="00000000">
        <w:rPr>
          <w:rtl w:val="0"/>
        </w:rPr>
        <w:t xml:space="preserve">• Knowledge qualifiers. Counsel can use terms that limit the general scope of what the client is representing, such as "to the best of the party's knowledge." This language limits the client's exposure, as it would only be in breach if it were established it actually knew the representation was false. The client would not be in breach in connection with incorrect representations that were made in good faith and were reasonable at the time that they were provided. The beneficiary of such a representation, however, may want to request it be amended to include the party's actual or constructive knowledge, which would expand the representation to include things a party either knew or should reasonably have known based on the surrounding facts and circumstances.</w:t>
      </w:r>
    </w:p>
    <w:p w:rsidR="00000000" w:rsidDel="00000000" w:rsidP="00000000" w:rsidRDefault="00000000" w:rsidRPr="00000000" w14:paraId="00000025">
      <w:pPr>
        <w:numPr>
          <w:ilvl w:val="0"/>
          <w:numId w:val="1"/>
        </w:numPr>
        <w:spacing w:after="0" w:afterAutospacing="0" w:before="0" w:beforeAutospacing="0"/>
        <w:ind w:left="720" w:hanging="360"/>
        <w:jc w:val="both"/>
      </w:pPr>
      <w:r w:rsidDel="00000000" w:rsidR="00000000" w:rsidRPr="00000000">
        <w:rPr>
          <w:rtl w:val="0"/>
        </w:rPr>
      </w:r>
    </w:p>
    <w:p w:rsidR="00000000" w:rsidDel="00000000" w:rsidP="00000000" w:rsidRDefault="00000000" w:rsidRPr="00000000" w14:paraId="00000026">
      <w:pPr>
        <w:numPr>
          <w:ilvl w:val="0"/>
          <w:numId w:val="1"/>
        </w:numPr>
        <w:spacing w:after="0" w:afterAutospacing="0" w:before="0" w:beforeAutospacing="0"/>
        <w:ind w:left="720" w:hanging="360"/>
        <w:jc w:val="both"/>
      </w:pPr>
      <w:r w:rsidDel="00000000" w:rsidR="00000000" w:rsidRPr="00000000">
        <w:rPr>
          <w:rtl w:val="0"/>
        </w:rPr>
        <w:t xml:space="preserve">• Cure period. Reasonable cure periods can be included in an agreement in connection with breached representations and warranties. For example, the breaching party could be provided with a certain number of days to cure (if possible) any breach following receipt of written notice from the non-breaching party detailing the alleged breach. Counsel should consider what a reasonable cure period should be to remedy the breach. In certain transactions, it might be preferable not to provide a specific number of days to cure the defect, but rather, provide a party with a reasonable period of time in which to cure, provided that the breach is capable of cure in the first instance.</w:t>
      </w:r>
    </w:p>
    <w:p w:rsidR="00000000" w:rsidDel="00000000" w:rsidP="00000000" w:rsidRDefault="00000000" w:rsidRPr="00000000" w14:paraId="00000027">
      <w:pPr>
        <w:numPr>
          <w:ilvl w:val="0"/>
          <w:numId w:val="1"/>
        </w:numPr>
        <w:spacing w:after="0" w:afterAutospacing="0" w:before="0" w:beforeAutospacing="0"/>
        <w:ind w:left="720" w:hanging="360"/>
        <w:jc w:val="both"/>
      </w:pPr>
      <w:r w:rsidDel="00000000" w:rsidR="00000000" w:rsidRPr="00000000">
        <w:rPr>
          <w:rtl w:val="0"/>
        </w:rPr>
      </w:r>
    </w:p>
    <w:p w:rsidR="00000000" w:rsidDel="00000000" w:rsidP="00000000" w:rsidRDefault="00000000" w:rsidRPr="00000000" w14:paraId="00000028">
      <w:pPr>
        <w:numPr>
          <w:ilvl w:val="0"/>
          <w:numId w:val="1"/>
        </w:numPr>
        <w:spacing w:after="0" w:afterAutospacing="0" w:before="0" w:beforeAutospacing="0"/>
        <w:ind w:left="720" w:hanging="360"/>
        <w:jc w:val="both"/>
      </w:pPr>
      <w:r w:rsidDel="00000000" w:rsidR="00000000" w:rsidRPr="00000000">
        <w:rPr>
          <w:rtl w:val="0"/>
        </w:rPr>
        <w:t xml:space="preserve">• Exceptions. Specific exceptions can be used to qualify representations and warranties, such as including designated carve-outs. For example, a party can represent that it is not subject to any pending or threatened lawsuits, except for those listed in a particular section or exhibit to the agreement.</w:t>
      </w:r>
    </w:p>
    <w:p w:rsidR="00000000" w:rsidDel="00000000" w:rsidP="00000000" w:rsidRDefault="00000000" w:rsidRPr="00000000" w14:paraId="00000029">
      <w:pPr>
        <w:numPr>
          <w:ilvl w:val="0"/>
          <w:numId w:val="1"/>
        </w:numPr>
        <w:spacing w:after="0" w:afterAutospacing="0" w:before="0" w:beforeAutospacing="0"/>
        <w:ind w:left="720" w:hanging="360"/>
        <w:jc w:val="both"/>
      </w:pPr>
      <w:r w:rsidDel="00000000" w:rsidR="00000000" w:rsidRPr="00000000">
        <w:rPr>
          <w:rtl w:val="0"/>
        </w:rPr>
      </w:r>
    </w:p>
    <w:p w:rsidR="00000000" w:rsidDel="00000000" w:rsidP="00000000" w:rsidRDefault="00000000" w:rsidRPr="00000000" w14:paraId="0000002A">
      <w:pPr>
        <w:numPr>
          <w:ilvl w:val="0"/>
          <w:numId w:val="1"/>
        </w:numPr>
        <w:spacing w:after="0" w:afterAutospacing="0" w:before="0" w:beforeAutospacing="0"/>
        <w:ind w:left="720" w:hanging="360"/>
        <w:jc w:val="both"/>
      </w:pPr>
      <w:r w:rsidDel="00000000" w:rsidR="00000000" w:rsidRPr="00000000">
        <w:rPr>
          <w:rtl w:val="0"/>
        </w:rPr>
        <w:t xml:space="preserve">• Materiality and reasonableness qualifiers. The scope and nature of representations and warranties can also be limited through the addition of language incorporating a materiality and/or reasonableness standard. For example, if a party to an agreement represents and warrants that all deadlines will be met without delay, the language can be limited to reference only material delays. Counsel must be cautious when utilizing a materiality or reasonableness qualifier. Confer with the client and confirm that such limitations are appropriate and acceptable, For example, in some transactions any delay will be deemed material, in which event the parties can include a "time is of the essence" clause in the agreement.</w:t>
      </w:r>
    </w:p>
    <w:p w:rsidR="00000000" w:rsidDel="00000000" w:rsidP="00000000" w:rsidRDefault="00000000" w:rsidRPr="00000000" w14:paraId="0000002B">
      <w:pPr>
        <w:numPr>
          <w:ilvl w:val="0"/>
          <w:numId w:val="1"/>
        </w:numPr>
        <w:spacing w:after="0" w:afterAutospacing="0" w:before="0" w:beforeAutospacing="0"/>
        <w:ind w:left="720" w:hanging="360"/>
        <w:jc w:val="both"/>
      </w:pPr>
      <w:r w:rsidDel="00000000" w:rsidR="00000000" w:rsidRPr="00000000">
        <w:rPr>
          <w:rtl w:val="0"/>
        </w:rPr>
      </w:r>
    </w:p>
    <w:p w:rsidR="00000000" w:rsidDel="00000000" w:rsidP="00000000" w:rsidRDefault="00000000" w:rsidRPr="00000000" w14:paraId="0000002C">
      <w:pPr>
        <w:numPr>
          <w:ilvl w:val="0"/>
          <w:numId w:val="1"/>
        </w:numPr>
        <w:spacing w:after="0" w:afterAutospacing="0" w:before="0" w:beforeAutospacing="0"/>
        <w:ind w:left="720" w:hanging="360"/>
        <w:jc w:val="both"/>
      </w:pPr>
      <w:r w:rsidDel="00000000" w:rsidR="00000000" w:rsidRPr="00000000">
        <w:rPr>
          <w:rtl w:val="0"/>
        </w:rPr>
        <w:t xml:space="preserve">• Include anti-sandbagging provisions. Anti-sandbagging provisions serve to prevent the recipient party from making a claim for breach or inaccuracy of a representation and warranty if and to the extent that the recipient had actual and/or constructive knowledge that a representation and warranty was not true at the time it was provided. Anti-sandbagging provisions are used quite frequently in M&amp;A transactions. Anti-sandbagging provisions are not as common in Canada as they are in the United States. As such Canadian courts have not frequently considered these provisions, though they tend to uphold them. Failing to include a clause leaves parties at the mercy of the common law and there is no clear answer in Canadian case law as to whether sandbagging is or is not permitted when it is not explicitly addressed in a definitive agreement. As such, it can be risky to fail to address the issue in the definitive agreement. Moreover, if a transaction involves foreign jurisdictions and the parties choose to remain silent, counsel should carefully consider the governing law provision of the agreement as the default common law position with respect to sandbagging can vary substantially by jurisdiction.</w:t>
      </w:r>
    </w:p>
    <w:p w:rsidR="00000000" w:rsidDel="00000000" w:rsidP="00000000" w:rsidRDefault="00000000" w:rsidRPr="00000000" w14:paraId="0000002D">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E">
      <w:pPr>
        <w:numPr>
          <w:ilvl w:val="0"/>
          <w:numId w:val="1"/>
        </w:numPr>
        <w:pBdr>
          <w:top w:color="auto" w:space="0" w:sz="0" w:val="none"/>
          <w:bottom w:color="auto" w:space="0" w:sz="0" w:val="none"/>
          <w:right w:color="auto" w:space="0" w:sz="0" w:val="none"/>
          <w:between w:color="auto" w:space="0" w:sz="0" w:val="none"/>
        </w:pBdr>
        <w:spacing w:after="280" w:before="0" w:beforeAutospacing="0" w:lineRule="auto"/>
        <w:ind w:left="720" w:hanging="360"/>
      </w:pPr>
      <w:r w:rsidDel="00000000" w:rsidR="00000000" w:rsidRPr="00000000">
        <w:rPr>
          <w:rtl w:val="0"/>
        </w:rPr>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pacing w:after="280" w:before="460" w:lineRule="auto"/>
        <w:rPr>
          <w:rFonts w:ascii="Verdana" w:cs="Verdana" w:eastAsia="Verdana" w:hAnsi="Verdana"/>
          <w:color w:val="212121"/>
          <w:sz w:val="18"/>
          <w:szCs w:val="18"/>
        </w:rPr>
      </w:pPr>
      <w:r w:rsidDel="00000000" w:rsidR="00000000" w:rsidRPr="00000000">
        <w:rPr>
          <w:rtl w:val="0"/>
        </w:rPr>
      </w:r>
    </w:p>
    <w:p w:rsidR="00000000" w:rsidDel="00000000" w:rsidP="00000000" w:rsidRDefault="00000000" w:rsidRPr="00000000" w14:paraId="00000030">
      <w:pPr>
        <w:pStyle w:val="Heading2"/>
        <w:spacing w:line="408" w:lineRule="auto"/>
        <w:rPr/>
      </w:pPr>
      <w:bookmarkStart w:colFirst="0" w:colLast="0" w:name="_vzl7439u06uc" w:id="8"/>
      <w:bookmarkEnd w:id="8"/>
      <w:r w:rsidDel="00000000" w:rsidR="00000000" w:rsidRPr="00000000">
        <w:rPr>
          <w:rtl w:val="0"/>
        </w:rPr>
        <w:t xml:space="preserve">Covenants and Rights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 covenant is a promise made by one party to another party to take, or refrain from taking, certain action(s), sometimes for only a designated period of time. The party making the covenant is sometimes referred to as the obligor and the recipient as the obligee. If a contractual covenant is not met, the agreement will have been breached and the non-breaching party may be entitled to damages. Covenants and rights work together to delineate the parties' respective obligations and entitlements, which is at the crux of any transaction.</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 right is the benefit that the obligee of a covenant will receive when the obligor performs its duty. For example, if the covenant is the promise to wash someone's car, the obligee's right is to receive a carwash. Covenants and rights are the direct inverse of one another, working together to set forth the respective obligations and entitlements of the parties. Covenants and rights set forth the basic transaction between the contracting parties; </w:t>
      </w:r>
      <w:r w:rsidDel="00000000" w:rsidR="00000000" w:rsidRPr="00000000">
        <w:rPr>
          <w:rFonts w:ascii="Verdana" w:cs="Verdana" w:eastAsia="Verdana" w:hAnsi="Verdana"/>
          <w:i w:val="1"/>
          <w:iCs w:val="1"/>
          <w:color w:val="212121"/>
          <w:sz w:val="18"/>
          <w:szCs w:val="18"/>
          <w:rtl w:val="0"/>
        </w:rPr>
        <w:t xml:space="preserve">i.e.</w:t>
      </w:r>
      <w:r w:rsidDel="00000000" w:rsidR="00000000" w:rsidRPr="00000000">
        <w:rPr>
          <w:rFonts w:ascii="Verdana" w:cs="Verdana" w:eastAsia="Verdana" w:hAnsi="Verdana"/>
          <w:color w:val="212121"/>
          <w:sz w:val="18"/>
          <w:szCs w:val="18"/>
          <w:rtl w:val="0"/>
        </w:rPr>
        <w:t xml:space="preserve">, what each party is providing to, and receiving from, the other.</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For every covenant there is a correlative right (whether expressly stated or not), and vice-versa. Most practitioners do not see the value in stating both the covenant and the right for a particular subject matter in an agreement as one clearly implicates the other.</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Best practices would require written inclusion of all covenants (as opposed to rights) in agreements, as covenants (unlike rights) require a clear, and sometimes detailed, description of the requisite behaviour required by the covenant. Therefore, spelling out all such obligations in writing serves to provide clarity in connection with the parties' obligations.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The most common covenants and rights incorporated in commercial contracts include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80" w:before="280" w:line="240" w:lineRule="auto"/>
        <w:ind w:left="720" w:firstLine="0"/>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(1) confidentiality provisions;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80" w:before="280" w:line="240" w:lineRule="auto"/>
        <w:ind w:left="720" w:firstLine="0"/>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(2) indemnification provisions;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80" w:before="280" w:line="240" w:lineRule="auto"/>
        <w:ind w:left="720" w:firstLine="0"/>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(3) ongoing representations and warranties (</w:t>
      </w:r>
      <w:r w:rsidDel="00000000" w:rsidR="00000000" w:rsidRPr="00000000">
        <w:rPr>
          <w:rFonts w:ascii="Verdana" w:cs="Verdana" w:eastAsia="Verdana" w:hAnsi="Verdana"/>
          <w:i w:val="1"/>
          <w:iCs w:val="1"/>
          <w:color w:val="212121"/>
          <w:sz w:val="18"/>
          <w:szCs w:val="18"/>
          <w:rtl w:val="0"/>
        </w:rPr>
        <w:t xml:space="preserve">i.e.</w:t>
      </w:r>
      <w:r w:rsidDel="00000000" w:rsidR="00000000" w:rsidRPr="00000000">
        <w:rPr>
          <w:rFonts w:ascii="Verdana" w:cs="Verdana" w:eastAsia="Verdana" w:hAnsi="Verdana"/>
          <w:color w:val="212121"/>
          <w:sz w:val="18"/>
          <w:szCs w:val="18"/>
          <w:rtl w:val="0"/>
        </w:rPr>
        <w:t xml:space="preserve">, those respecting future acts);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80" w:before="280" w:line="240" w:lineRule="auto"/>
        <w:ind w:left="720" w:firstLine="0"/>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(4) insurance provisions;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80" w:before="280" w:line="240" w:lineRule="auto"/>
        <w:ind w:left="720" w:firstLine="0"/>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(5) sale, delivery, purchase price, and related obligations;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80" w:before="280" w:line="240" w:lineRule="auto"/>
        <w:ind w:left="720" w:firstLine="0"/>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(6) noncompete and non-solicitation provisions; and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80" w:before="280" w:line="240" w:lineRule="auto"/>
        <w:ind w:left="720" w:firstLine="0"/>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(7) suspension and termination provisions.</w:t>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pacing w:after="280" w:before="460" w:lineRule="auto"/>
        <w:rPr>
          <w:rFonts w:ascii="Verdana" w:cs="Verdana" w:eastAsia="Verdana" w:hAnsi="Verdana"/>
          <w:color w:val="212121"/>
          <w:sz w:val="18"/>
          <w:szCs w:val="18"/>
        </w:rPr>
      </w:pPr>
      <w:r w:rsidDel="00000000" w:rsidR="00000000" w:rsidRPr="00000000">
        <w:rPr>
          <w:rtl w:val="0"/>
        </w:rPr>
      </w:r>
    </w:p>
    <w:p w:rsidR="00000000" w:rsidDel="00000000" w:rsidP="00000000" w:rsidRDefault="00000000" w:rsidRPr="00000000" w14:paraId="0000003E">
      <w:pPr>
        <w:pStyle w:val="Heading2"/>
        <w:pBdr>
          <w:top w:color="auto" w:space="0" w:sz="0" w:val="none"/>
          <w:bottom w:color="auto" w:space="0" w:sz="0" w:val="none"/>
          <w:right w:color="auto" w:space="0" w:sz="0" w:val="none"/>
          <w:between w:color="auto" w:space="0" w:sz="0" w:val="none"/>
        </w:pBdr>
        <w:spacing w:after="280" w:before="460" w:lineRule="auto"/>
        <w:rPr/>
      </w:pPr>
      <w:bookmarkStart w:colFirst="0" w:colLast="0" w:name="_bin9r8yytsmi" w:id="9"/>
      <w:bookmarkEnd w:id="9"/>
      <w:r w:rsidDel="00000000" w:rsidR="00000000" w:rsidRPr="00000000">
        <w:rPr>
          <w:rtl w:val="0"/>
        </w:rPr>
      </w:r>
    </w:p>
    <w:p w:rsidR="00000000" w:rsidDel="00000000" w:rsidP="00000000" w:rsidRDefault="00000000" w:rsidRPr="00000000" w14:paraId="0000003F">
      <w:pPr>
        <w:pStyle w:val="Heading2"/>
        <w:spacing w:line="408" w:lineRule="auto"/>
        <w:rPr/>
      </w:pPr>
      <w:bookmarkStart w:colFirst="0" w:colLast="0" w:name="_tt9zr3uqv16w" w:id="10"/>
      <w:bookmarkEnd w:id="10"/>
      <w:r w:rsidDel="00000000" w:rsidR="00000000" w:rsidRPr="00000000">
        <w:rPr>
          <w:rtl w:val="0"/>
        </w:rPr>
        <w:t xml:space="preserve">Conditions</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 condition is an event that must take place, or a fact that must be true, in order for a party's covenant(s) or right(s) to take effect. If a condition is not met, the covenant to which it refers does not have to be fulfilled. It serves to restrict or eliminate certain rights and/or obligations that are contingent upon particular conditions being satisfied. If a condition has not occurred, the duty is not activated. However, in the event the condition may still occur, the duty will not be discharged.</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 condition can be outside the control of a party, such as a condition based upon actions of third parties not under its control (such as obtaining a government approval or certification), or events outside any party's control (such as the weather). Conditions can also be entirely within the control of one or both of the parties to an agreement, such as a customer's payment obligations or a seller's delivery of goods obligation. However, a condition must be an event which may or may not occur. Accordingly the passage of time is not a condition as it will definitely occur. An unmet condition generally serves to relieve one or both parties' performance of a related obligation, and may give rise to suspension and/or termination rights. It therefore serves to allocate risk between the parties.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Failure of a condition does not constitute a breach of contract or prevent the formation of an enforceable agreement. Instead, the covenant to which the condition is attached never becomes operative in the first instance. For example, in the following scenario: "If Jerry makes $100, $50 will be given to Phil," Jerry making $100 is the condition, giving $50 to Phil is the covenant, and Phil receiving $50 is the right. If Jerry does not make $100, the $50 is not required to be given to Phil, and Jerry would not be in breach of the agreement.</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Conditions can be both express and implied. Express conditions are those stated in an agreement, such as a party's payment obligation being subject to timely receipt of goods or services. Implied conditions, also known as constructive conditions, are those that are unstated yet inferred from either the contract's language or the conduct of one or both of the parties. Implied conditions can also be imposed by a court in the interest of justice. Implied conditions must be substantially complied with by the obligated party.</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pPr>
      <w:r w:rsidDel="00000000" w:rsidR="00000000" w:rsidRPr="00000000">
        <w:rPr>
          <w:rFonts w:ascii="Verdana" w:cs="Verdana" w:eastAsia="Verdana" w:hAnsi="Verdana"/>
          <w:color w:val="212121"/>
          <w:sz w:val="18"/>
          <w:szCs w:val="18"/>
          <w:rtl w:val="0"/>
        </w:rPr>
        <w:t xml:space="preserve">In determining whether or not an express condition has been met, courts have consistently held that it is necessary to strive to give meaning to a condition in order to avoid finding that the contract is void for uncertainty. If necessary, terms will be implied in order to achieve the goal of finding a meaning that will avoid voidness for uncertainty, though the court cannot effectively write a contract for the parties. Therefore, when drafting an agreement, in order to properly memorialize and protect the client's intent, rather than having a court imply terms, practitioners should ensure that all conditions are stated clearly and in sufficient detail so it is readily apparent what must occur for the condition to be met.</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d724elvl5tx9" w:id="11"/>
      <w:bookmarkEnd w:id="11"/>
      <w:r w:rsidDel="00000000" w:rsidR="00000000" w:rsidRPr="00000000">
        <w:rPr>
          <w:rtl w:val="0"/>
        </w:rPr>
        <w:t xml:space="preserve">Condition Precedent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pageBreakBefore w:val="0"/>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spacing w:before="200" w:line="312" w:lineRule="auto"/>
      <w:ind w:left="5760" w:hanging="5760"/>
      <w:rPr/>
    </w:pPr>
    <w:r w:rsidDel="00000000" w:rsidR="00000000" w:rsidRPr="00000000">
      <w:rPr>
        <w:rFonts w:ascii="Proxima Nova" w:cs="Proxima Nova" w:eastAsia="Proxima Nova" w:hAnsi="Proxima Nova"/>
        <w:color w:val="353744"/>
      </w:rPr>
      <w:drawing>
        <wp:inline distB="114300" distT="114300" distL="114300" distR="114300">
          <wp:extent cx="1714302" cy="925513"/>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714302" cy="9255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color w:val="212121"/>
        <w:sz w:val="18"/>
        <w:szCs w:val="18"/>
        <w:lang w:val="en"/>
      </w:rPr>
    </w:rPrDefault>
    <w:pPrDefault>
      <w:pPr>
        <w:pBdr>
          <w:top w:color="auto" w:space="0" w:sz="0" w:val="none"/>
          <w:left w:color="auto" w:space="0" w:sz="0" w:val="none"/>
          <w:bottom w:color="auto" w:space="0" w:sz="0" w:val="none"/>
          <w:right w:color="auto" w:space="0" w:sz="0" w:val="none"/>
          <w:between w:color="auto" w:space="0" w:sz="0" w:val="none"/>
        </w:pBdr>
        <w:spacing w:after="280" w:before="280" w:line="40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480" w:line="413.33327999999995"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keepNext w:val="1"/>
      <w:keepLines w:val="1"/>
      <w:spacing w:after="240" w:before="240" w:line="240" w:lineRule="auto"/>
      <w:jc w:val="both"/>
    </w:pPr>
    <w:rPr>
      <w:rFonts w:ascii="Proxima Nova" w:cs="Proxima Nova" w:eastAsia="Proxima Nova" w:hAnsi="Proxima Nova"/>
      <w:b w:val="1"/>
      <w:bCs w:val="1"/>
      <w:color w:val="1d477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320" w:line="240" w:lineRule="auto"/>
      <w:jc w:val="both"/>
    </w:pPr>
    <w:rPr>
      <w:rFonts w:ascii="Proxima Nova" w:cs="Proxima Nova" w:eastAsia="Proxima Nova" w:hAnsi="Proxima Nova"/>
      <w:color w:val="353744"/>
      <w:sz w:val="72"/>
      <w:szCs w:val="7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