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0" w:before="200" w:line="240" w:lineRule="auto"/>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0" w:before="0" w:line="240" w:lineRule="auto"/>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0" w:before="0" w:line="240" w:lineRule="auto"/>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before="0" w:line="240" w:lineRule="auto"/>
        <w:jc w:val="left"/>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pStyle w:val="Title"/>
        <w:keepNext w:val="1"/>
        <w:keepLines w:val="1"/>
        <w:rPr/>
      </w:pPr>
      <w:bookmarkStart w:colFirst="0" w:colLast="0" w:name="_g0w54zvqa5py" w:id="0"/>
      <w:bookmarkEnd w:id="0"/>
      <w:r w:rsidDel="00000000" w:rsidR="00000000" w:rsidRPr="00000000">
        <w:rPr>
          <w:rtl w:val="0"/>
        </w:rPr>
      </w:r>
    </w:p>
    <w:p w:rsidR="00000000" w:rsidDel="00000000" w:rsidP="00000000" w:rsidRDefault="00000000" w:rsidRPr="00000000" w14:paraId="00000006">
      <w:pPr>
        <w:pStyle w:val="Title"/>
        <w:keepNext w:val="1"/>
        <w:keepLines w:val="1"/>
        <w:rPr/>
      </w:pPr>
      <w:bookmarkStart w:colFirst="0" w:colLast="0" w:name="_ygerattlqd9q" w:id="1"/>
      <w:bookmarkEnd w:id="1"/>
      <w:r w:rsidDel="00000000" w:rsidR="00000000" w:rsidRPr="00000000">
        <w:rPr>
          <w:rtl w:val="0"/>
        </w:rPr>
        <w:t xml:space="preserve">Commercial Law - Security Agreements</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This note provides an overview of the purpose and structure of a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A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 in a debtor's property (collateral) is created when a secured party gives a debtor value (</w:t>
      </w:r>
      <w:r w:rsidDel="00000000" w:rsidR="00000000" w:rsidRPr="00000000">
        <w:rPr>
          <w:rFonts w:ascii="Verdana" w:cs="Verdana" w:eastAsia="Verdana" w:hAnsi="Verdana"/>
          <w:i w:val="1"/>
          <w:iCs w:val="1"/>
          <w:color w:val="212121"/>
          <w:sz w:val="18"/>
          <w:szCs w:val="18"/>
          <w:rtl w:val="0"/>
        </w:rPr>
        <w:t xml:space="preserve">i.e.</w:t>
      </w:r>
      <w:r w:rsidDel="00000000" w:rsidR="00000000" w:rsidRPr="00000000">
        <w:rPr>
          <w:rFonts w:ascii="Verdana" w:cs="Verdana" w:eastAsia="Verdana" w:hAnsi="Verdana"/>
          <w:color w:val="212121"/>
          <w:sz w:val="18"/>
          <w:szCs w:val="18"/>
          <w:rtl w:val="0"/>
        </w:rPr>
        <w:t xml:space="preserve">, a loan), the debtor has rights in the collateral and the debtor has executed a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with respect to the collateral. A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contains the provisions necessary to create a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 in the collateral in favour of the secured party and sets out the rights and obligations of the parties in relation to the collateral. The following outlines the purpose of a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some of the key provisions of a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as well as drafting and negotiation tips for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This note addresses the following topics:</w:t>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spacing w:after="0" w:afterAutospacing="0" w:before="28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 </w:t>
      </w:r>
      <w:hyperlink r:id="rId7">
        <w:r w:rsidDel="00000000" w:rsidR="00000000" w:rsidRPr="00000000">
          <w:rPr>
            <w:rFonts w:ascii="Verdana" w:cs="Verdana" w:eastAsia="Verdana" w:hAnsi="Verdana"/>
            <w:color w:val="006ebb"/>
            <w:sz w:val="18"/>
            <w:szCs w:val="18"/>
            <w:u w:val="single"/>
            <w:rtl w:val="0"/>
          </w:rPr>
          <w:t xml:space="preserve">Purpose of a </w:t>
        </w:r>
      </w:hyperlink>
      <w:hyperlink r:id="rId8">
        <w:r w:rsidDel="00000000" w:rsidR="00000000" w:rsidRPr="00000000">
          <w:rPr>
            <w:rFonts w:ascii="Verdana" w:cs="Verdana" w:eastAsia="Verdana" w:hAnsi="Verdana"/>
            <w:b w:val="1"/>
            <w:bCs w:val="1"/>
            <w:color w:val="006ebb"/>
            <w:sz w:val="18"/>
            <w:szCs w:val="18"/>
            <w:u w:val="single"/>
            <w:rtl w:val="0"/>
          </w:rPr>
          <w:t xml:space="preserve">Security</w:t>
        </w:r>
      </w:hyperlink>
      <w:hyperlink r:id="rId9">
        <w:r w:rsidDel="00000000" w:rsidR="00000000" w:rsidRPr="00000000">
          <w:rPr>
            <w:rFonts w:ascii="Verdana" w:cs="Verdana" w:eastAsia="Verdana" w:hAnsi="Verdana"/>
            <w:color w:val="006ebb"/>
            <w:sz w:val="18"/>
            <w:szCs w:val="18"/>
            <w:u w:val="single"/>
            <w:rtl w:val="0"/>
          </w:rPr>
          <w:t xml:space="preserve"> Agreement</w:t>
        </w:r>
      </w:hyperlink>
      <w:r w:rsidDel="00000000" w:rsidR="00000000" w:rsidRPr="00000000">
        <w:rPr>
          <w:rtl w:val="0"/>
        </w:rPr>
      </w:r>
    </w:p>
    <w:p w:rsidR="00000000" w:rsidDel="00000000" w:rsidP="00000000" w:rsidRDefault="00000000" w:rsidRPr="00000000" w14:paraId="0000000A">
      <w:pPr>
        <w:numPr>
          <w:ilvl w:val="0"/>
          <w:numId w:val="10"/>
        </w:numPr>
        <w:pBdr>
          <w:top w:color="auto" w:space="0" w:sz="0" w:val="none"/>
          <w:bottom w:color="auto" w:space="0" w:sz="0" w:val="none"/>
          <w:right w:color="auto" w:space="0" w:sz="0" w:val="none"/>
          <w:between w:color="auto" w:space="0" w:sz="0" w:val="none"/>
        </w:pBdr>
        <w:spacing w:after="280" w:before="0" w:beforeAutospacing="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 </w:t>
      </w:r>
      <w:hyperlink r:id="rId10">
        <w:r w:rsidDel="00000000" w:rsidR="00000000" w:rsidRPr="00000000">
          <w:rPr>
            <w:rFonts w:ascii="Verdana" w:cs="Verdana" w:eastAsia="Verdana" w:hAnsi="Verdana"/>
            <w:color w:val="006ebb"/>
            <w:sz w:val="18"/>
            <w:szCs w:val="18"/>
            <w:u w:val="single"/>
            <w:rtl w:val="0"/>
          </w:rPr>
          <w:t xml:space="preserve">Key </w:t>
        </w:r>
      </w:hyperlink>
      <w:hyperlink r:id="rId11">
        <w:r w:rsidDel="00000000" w:rsidR="00000000" w:rsidRPr="00000000">
          <w:rPr>
            <w:rFonts w:ascii="Verdana" w:cs="Verdana" w:eastAsia="Verdana" w:hAnsi="Verdana"/>
            <w:b w:val="1"/>
            <w:bCs w:val="1"/>
            <w:color w:val="006ebb"/>
            <w:sz w:val="18"/>
            <w:szCs w:val="18"/>
            <w:u w:val="single"/>
            <w:rtl w:val="0"/>
          </w:rPr>
          <w:t xml:space="preserve">Security</w:t>
        </w:r>
      </w:hyperlink>
      <w:hyperlink r:id="rId12">
        <w:r w:rsidDel="00000000" w:rsidR="00000000" w:rsidRPr="00000000">
          <w:rPr>
            <w:rFonts w:ascii="Verdana" w:cs="Verdana" w:eastAsia="Verdana" w:hAnsi="Verdana"/>
            <w:color w:val="006ebb"/>
            <w:sz w:val="18"/>
            <w:szCs w:val="18"/>
            <w:u w:val="single"/>
            <w:rtl w:val="0"/>
          </w:rPr>
          <w:t xml:space="preserve"> Agreement Provisions</w:t>
        </w:r>
      </w:hyperlink>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a checklist of issues to consider when drafting a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see </w:t>
      </w:r>
      <w:r w:rsidDel="00000000" w:rsidR="00000000" w:rsidRPr="00000000">
        <w:rPr>
          <w:rFonts w:ascii="Verdana" w:cs="Verdana" w:eastAsia="Verdana" w:hAnsi="Verdana"/>
          <w:b w:val="1"/>
          <w:bCs w:val="1"/>
          <w:sz w:val="18"/>
          <w:szCs w:val="18"/>
          <w:rtl w:val="0"/>
        </w:rPr>
        <w:t xml:space="preserve">Security</w:t>
      </w:r>
      <w:r w:rsidDel="00000000" w:rsidR="00000000" w:rsidRPr="00000000">
        <w:rPr>
          <w:rFonts w:ascii="Verdana" w:cs="Verdana" w:eastAsia="Verdana" w:hAnsi="Verdana"/>
          <w:sz w:val="18"/>
          <w:szCs w:val="18"/>
          <w:rtl w:val="0"/>
        </w:rPr>
        <w:t xml:space="preserve"> Agreement Checklist</w:t>
      </w:r>
      <w:r w:rsidDel="00000000" w:rsidR="00000000" w:rsidRPr="00000000">
        <w:rPr>
          <w:rFonts w:ascii="Verdana" w:cs="Verdana" w:eastAsia="Verdana" w:hAnsi="Verdana"/>
          <w:color w:val="212121"/>
          <w:sz w:val="18"/>
          <w:szCs w:val="18"/>
          <w:rtl w:val="0"/>
        </w:rPr>
        <w:t xml:space="preserve">. For a precedent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see </w:t>
      </w:r>
      <w:hyperlink r:id="rId13">
        <w:r w:rsidDel="00000000" w:rsidR="00000000" w:rsidRPr="00000000">
          <w:rPr>
            <w:rFonts w:ascii="Verdana" w:cs="Verdana" w:eastAsia="Verdana" w:hAnsi="Verdana"/>
            <w:color w:val="006ebb"/>
            <w:sz w:val="18"/>
            <w:szCs w:val="18"/>
            <w:u w:val="single"/>
            <w:rtl w:val="0"/>
          </w:rPr>
          <w:t xml:space="preserve">General </w:t>
        </w:r>
      </w:hyperlink>
      <w:hyperlink r:id="rId14">
        <w:r w:rsidDel="00000000" w:rsidR="00000000" w:rsidRPr="00000000">
          <w:rPr>
            <w:rFonts w:ascii="Verdana" w:cs="Verdana" w:eastAsia="Verdana" w:hAnsi="Verdana"/>
            <w:b w:val="1"/>
            <w:bCs w:val="1"/>
            <w:color w:val="006ebb"/>
            <w:sz w:val="18"/>
            <w:szCs w:val="18"/>
            <w:u w:val="single"/>
            <w:rtl w:val="0"/>
          </w:rPr>
          <w:t xml:space="preserve">Security</w:t>
        </w:r>
      </w:hyperlink>
      <w:hyperlink r:id="rId15">
        <w:r w:rsidDel="00000000" w:rsidR="00000000" w:rsidRPr="00000000">
          <w:rPr>
            <w:rFonts w:ascii="Verdana" w:cs="Verdana" w:eastAsia="Verdana" w:hAnsi="Verdana"/>
            <w:color w:val="006ebb"/>
            <w:sz w:val="18"/>
            <w:szCs w:val="18"/>
            <w:u w:val="single"/>
            <w:rtl w:val="0"/>
          </w:rPr>
          <w:t xml:space="preserve"> Agreement</w:t>
        </w:r>
      </w:hyperlink>
      <w:r w:rsidDel="00000000" w:rsidR="00000000" w:rsidRPr="00000000">
        <w:rPr>
          <w:rFonts w:ascii="Verdana" w:cs="Verdana" w:eastAsia="Verdana" w:hAnsi="Verdana"/>
          <w:color w:val="212121"/>
          <w:sz w:val="18"/>
          <w:szCs w:val="18"/>
          <w:rtl w:val="0"/>
        </w:rPr>
        <w:t xml:space="preserve">. For a precedent pledge agreement, see </w:t>
      </w:r>
      <w:hyperlink r:id="rId16">
        <w:r w:rsidDel="00000000" w:rsidR="00000000" w:rsidRPr="00000000">
          <w:rPr>
            <w:rFonts w:ascii="Verdana" w:cs="Verdana" w:eastAsia="Verdana" w:hAnsi="Verdana"/>
            <w:color w:val="006ebb"/>
            <w:sz w:val="18"/>
            <w:szCs w:val="18"/>
            <w:u w:val="single"/>
            <w:rtl w:val="0"/>
          </w:rPr>
          <w:t xml:space="preserve">Pledge Agreement</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0C">
      <w:pPr>
        <w:spacing w:before="0" w:line="408" w:lineRule="auto"/>
        <w:rPr>
          <w:rFonts w:ascii="Verdana" w:cs="Verdana" w:eastAsia="Verdana" w:hAnsi="Verdana"/>
          <w:b w:val="1"/>
          <w:bCs w:val="1"/>
          <w:color w:val="212121"/>
          <w:sz w:val="18"/>
          <w:szCs w:val="18"/>
        </w:rPr>
      </w:pPr>
      <w:r w:rsidDel="00000000" w:rsidR="00000000" w:rsidRPr="00000000">
        <w:rPr>
          <w:rFonts w:ascii="Verdana" w:cs="Verdana" w:eastAsia="Verdana" w:hAnsi="Verdana"/>
          <w:b w:val="1"/>
          <w:bCs w:val="1"/>
          <w:color w:val="212121"/>
          <w:sz w:val="18"/>
          <w:szCs w:val="18"/>
          <w:rtl w:val="0"/>
        </w:rPr>
        <w:t xml:space="preserve">Purpose of a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b w:val="1"/>
          <w:bCs w:val="1"/>
          <w:color w:val="212121"/>
          <w:sz w:val="18"/>
          <w:szCs w:val="18"/>
          <w:rtl w:val="0"/>
        </w:rPr>
        <w:t xml:space="preserve"> Agreement</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a secured transaction, a secured party obtains an interest in the collateral that can be used as a back-up means of obtaining fulfillment of a defaulting debtor's underlying loan obligations. In the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a contract is created in which the debtor grants the secured party the interest in the collateral, which is only to be used in the event of the debtor's default under the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and/or the underlying loan documents. Because this interest pre-exists by virtue of the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upon default the secured party can act reasonably quickly to exercise its rights in the collateral without seeking a court order allowing it to act. The </w:t>
      </w:r>
      <w:r w:rsidDel="00000000" w:rsidR="00000000" w:rsidRPr="00000000">
        <w:rPr>
          <w:rFonts w:ascii="Verdana" w:cs="Verdana" w:eastAsia="Verdana" w:hAnsi="Verdana"/>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together with applicable law, notably the provincial </w:t>
      </w:r>
      <w:r w:rsidDel="00000000" w:rsidR="00000000" w:rsidRPr="00000000">
        <w:rPr>
          <w:rFonts w:ascii="Verdana" w:cs="Verdana" w:eastAsia="Verdana" w:hAnsi="Verdana"/>
          <w:i w:val="1"/>
          <w:iCs w:val="1"/>
          <w:color w:val="212121"/>
          <w:sz w:val="18"/>
          <w:szCs w:val="18"/>
          <w:rtl w:val="0"/>
        </w:rPr>
        <w:t xml:space="preserve">Personal Property </w:t>
      </w:r>
      <w:r w:rsidDel="00000000" w:rsidR="00000000" w:rsidRPr="00000000">
        <w:rPr>
          <w:rFonts w:ascii="Verdana" w:cs="Verdana" w:eastAsia="Verdana" w:hAnsi="Verdana"/>
          <w:i w:val="1"/>
          <w:iCs w:val="1"/>
          <w:color w:val="212121"/>
          <w:sz w:val="18"/>
          <w:szCs w:val="18"/>
          <w:rtl w:val="0"/>
        </w:rPr>
        <w:t xml:space="preserve">Security</w:t>
      </w:r>
      <w:r w:rsidDel="00000000" w:rsidR="00000000" w:rsidRPr="00000000">
        <w:rPr>
          <w:rFonts w:ascii="Verdana" w:cs="Verdana" w:eastAsia="Verdana" w:hAnsi="Verdana"/>
          <w:i w:val="1"/>
          <w:iCs w:val="1"/>
          <w:color w:val="212121"/>
          <w:sz w:val="18"/>
          <w:szCs w:val="18"/>
          <w:rtl w:val="0"/>
        </w:rPr>
        <w:t xml:space="preserve"> Act</w:t>
      </w:r>
      <w:r w:rsidDel="00000000" w:rsidR="00000000" w:rsidRPr="00000000">
        <w:rPr>
          <w:rFonts w:ascii="Verdana" w:cs="Verdana" w:eastAsia="Verdana" w:hAnsi="Verdana"/>
          <w:color w:val="212121"/>
          <w:sz w:val="18"/>
          <w:szCs w:val="18"/>
          <w:rtl w:val="0"/>
        </w:rPr>
        <w:t xml:space="preserve"> ("PPSAs"), sets out when and the ways in which the secured party can realize upon the collateral in satisfaction of the debtor's loan obligations.</w:t>
      </w:r>
    </w:p>
    <w:p w:rsidR="00000000" w:rsidDel="00000000" w:rsidP="00000000" w:rsidRDefault="00000000" w:rsidRPr="00000000" w14:paraId="0000000E">
      <w:pPr>
        <w:spacing w:before="0" w:line="408" w:lineRule="auto"/>
        <w:rPr>
          <w:rFonts w:ascii="Verdana" w:cs="Verdana" w:eastAsia="Verdana" w:hAnsi="Verdana"/>
          <w:b w:val="1"/>
          <w:bCs w:val="1"/>
          <w:color w:val="212121"/>
          <w:sz w:val="18"/>
          <w:szCs w:val="18"/>
        </w:rPr>
      </w:pPr>
      <w:r w:rsidDel="00000000" w:rsidR="00000000" w:rsidRPr="00000000">
        <w:rPr>
          <w:rtl w:val="0"/>
        </w:rPr>
      </w:r>
    </w:p>
    <w:p w:rsidR="00000000" w:rsidDel="00000000" w:rsidP="00000000" w:rsidRDefault="00000000" w:rsidRPr="00000000" w14:paraId="0000000F">
      <w:pPr>
        <w:spacing w:before="0" w:line="408" w:lineRule="auto"/>
        <w:rPr>
          <w:rFonts w:ascii="Verdana" w:cs="Verdana" w:eastAsia="Verdana" w:hAnsi="Verdana"/>
          <w:b w:val="1"/>
          <w:bCs w:val="1"/>
          <w:color w:val="212121"/>
          <w:sz w:val="18"/>
          <w:szCs w:val="18"/>
        </w:rPr>
      </w:pPr>
      <w:r w:rsidDel="00000000" w:rsidR="00000000" w:rsidRPr="00000000">
        <w:rPr>
          <w:rtl w:val="0"/>
        </w:rPr>
      </w:r>
    </w:p>
    <w:p w:rsidR="00000000" w:rsidDel="00000000" w:rsidP="00000000" w:rsidRDefault="00000000" w:rsidRPr="00000000" w14:paraId="00000010">
      <w:pPr>
        <w:pStyle w:val="Heading1"/>
        <w:spacing w:before="0" w:lineRule="auto"/>
        <w:rPr/>
      </w:pPr>
      <w:bookmarkStart w:colFirst="0" w:colLast="0" w:name="_yymalpodlkyk" w:id="2"/>
      <w:bookmarkEnd w:id="2"/>
      <w:r w:rsidDel="00000000" w:rsidR="00000000" w:rsidRPr="00000000">
        <w:rPr>
          <w:rtl w:val="0"/>
        </w:rPr>
        <w:t xml:space="preserve">Key Security Agreement Provisions</w:t>
      </w:r>
    </w:p>
    <w:p w:rsidR="00000000" w:rsidDel="00000000" w:rsidP="00000000" w:rsidRDefault="00000000" w:rsidRPr="00000000" w14:paraId="00000011">
      <w:pPr>
        <w:pStyle w:val="Heading2"/>
        <w:rPr/>
      </w:pPr>
      <w:bookmarkStart w:colFirst="0" w:colLast="0" w:name="_7uz9gn2r1e1" w:id="3"/>
      <w:bookmarkEnd w:id="3"/>
      <w:r w:rsidDel="00000000" w:rsidR="00000000" w:rsidRPr="00000000">
        <w:rPr>
          <w:rtl w:val="0"/>
        </w:rPr>
        <w:t xml:space="preserve">Debtor Name</w:t>
      </w:r>
    </w:p>
    <w:p w:rsidR="00000000" w:rsidDel="00000000" w:rsidP="00000000" w:rsidRDefault="00000000" w:rsidRPr="00000000" w14:paraId="00000012">
      <w:pPr>
        <w:rPr/>
      </w:pPr>
      <w:r w:rsidDel="00000000" w:rsidR="00000000" w:rsidRPr="00000000">
        <w:rPr>
          <w:rtl w:val="0"/>
        </w:rPr>
        <w:t xml:space="preserve">A </w:t>
      </w:r>
      <w:r w:rsidDel="00000000" w:rsidR="00000000" w:rsidRPr="00000000">
        <w:rPr>
          <w:rtl w:val="0"/>
        </w:rPr>
        <w:t xml:space="preserve">security</w:t>
      </w:r>
      <w:r w:rsidDel="00000000" w:rsidR="00000000" w:rsidRPr="00000000">
        <w:rPr>
          <w:rtl w:val="0"/>
        </w:rPr>
        <w:t xml:space="preserve"> agreement may be granted by an individual, a corporation, a partnership or other type of entity such as a cooperative. In all cases the secured party's counsel must ensure the name of the debtor used in the </w:t>
      </w:r>
      <w:r w:rsidDel="00000000" w:rsidR="00000000" w:rsidRPr="00000000">
        <w:rPr>
          <w:rtl w:val="0"/>
        </w:rPr>
        <w:t xml:space="preserve">security</w:t>
      </w:r>
      <w:r w:rsidDel="00000000" w:rsidR="00000000" w:rsidRPr="00000000">
        <w:rPr>
          <w:rtl w:val="0"/>
        </w:rPr>
        <w:t xml:space="preserve"> agreement and any related registrations is legally correct or a court could disallow the </w:t>
      </w:r>
      <w:r w:rsidDel="00000000" w:rsidR="00000000" w:rsidRPr="00000000">
        <w:rPr>
          <w:rtl w:val="0"/>
        </w:rPr>
        <w:t xml:space="preserve">security</w:t>
      </w:r>
      <w:r w:rsidDel="00000000" w:rsidR="00000000" w:rsidRPr="00000000">
        <w:rPr>
          <w:rtl w:val="0"/>
        </w:rPr>
        <w:t xml:space="preserve"> agreement or another creditor could have a priority claim to the collateral. Counsel preparing the </w:t>
      </w:r>
      <w:r w:rsidDel="00000000" w:rsidR="00000000" w:rsidRPr="00000000">
        <w:rPr>
          <w:rtl w:val="0"/>
        </w:rPr>
        <w:t xml:space="preserve">security</w:t>
      </w:r>
      <w:r w:rsidDel="00000000" w:rsidR="00000000" w:rsidRPr="00000000">
        <w:rPr>
          <w:rtl w:val="0"/>
        </w:rPr>
        <w:t xml:space="preserve"> agreement should obtain appropriate proof of name from the debtor (such as a certificate of status in the case of a corporation or a birth certificate in the case of an individual).</w:t>
      </w:r>
    </w:p>
    <w:p w:rsidR="00000000" w:rsidDel="00000000" w:rsidP="00000000" w:rsidRDefault="00000000" w:rsidRPr="00000000" w14:paraId="00000013">
      <w:pPr>
        <w:pStyle w:val="Heading2"/>
        <w:rPr/>
      </w:pPr>
      <w:bookmarkStart w:colFirst="0" w:colLast="0" w:name="_kkznldr48roo" w:id="4"/>
      <w:bookmarkEnd w:id="4"/>
      <w:r w:rsidDel="00000000" w:rsidR="00000000" w:rsidRPr="00000000">
        <w:rPr>
          <w:rtl w:val="0"/>
        </w:rPr>
        <w:t xml:space="preserve">Granting Clause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The PPSA regime app</w:t>
      </w:r>
      <w:r w:rsidDel="00000000" w:rsidR="00000000" w:rsidRPr="00000000">
        <w:rPr>
          <w:rtl w:val="0"/>
        </w:rPr>
        <w:t xml:space="preserve">lies</w:t>
      </w:r>
      <w:r w:rsidDel="00000000" w:rsidR="00000000" w:rsidRPr="00000000">
        <w:rPr>
          <w:color w:val="212121"/>
          <w:sz w:val="18"/>
          <w:szCs w:val="18"/>
          <w:rtl w:val="0"/>
        </w:rPr>
        <w:t xml:space="preserve"> to every transaction that in substance creates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without regard to its form and without regard to the person who has title to the collateral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w:t>
      </w:r>
      <w:hyperlink r:id="rId17">
        <w:r w:rsidDel="00000000" w:rsidR="00000000" w:rsidRPr="00000000">
          <w:rPr>
            <w:color w:val="006ebb"/>
            <w:sz w:val="18"/>
            <w:szCs w:val="18"/>
            <w:u w:val="single"/>
            <w:rtl w:val="0"/>
          </w:rPr>
          <w:t xml:space="preserve">R.S.O. 1990, c. P.10</w:t>
        </w:r>
      </w:hyperlink>
      <w:r w:rsidDel="00000000" w:rsidR="00000000" w:rsidRPr="00000000">
        <w:rPr>
          <w:color w:val="212121"/>
          <w:sz w:val="18"/>
          <w:szCs w:val="18"/>
          <w:rtl w:val="0"/>
        </w:rPr>
        <w:t xml:space="preserve">, s. </w:t>
      </w:r>
      <w:hyperlink r:id="rId18">
        <w:r w:rsidDel="00000000" w:rsidR="00000000" w:rsidRPr="00000000">
          <w:rPr>
            <w:color w:val="006ebb"/>
            <w:sz w:val="18"/>
            <w:szCs w:val="18"/>
            <w:u w:val="single"/>
            <w:rtl w:val="0"/>
          </w:rPr>
          <w:t xml:space="preserve">2</w:t>
        </w:r>
      </w:hyperlink>
      <w:r w:rsidDel="00000000" w:rsidR="00000000" w:rsidRPr="00000000">
        <w:rPr>
          <w:color w:val="212121"/>
          <w:sz w:val="18"/>
          <w:szCs w:val="1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A debtor must have rights in the collateral, but does not need to own it. </w:t>
      </w:r>
      <w:r w:rsidDel="00000000" w:rsidR="00000000" w:rsidRPr="00000000">
        <w:rPr>
          <w:color w:val="212121"/>
          <w:sz w:val="18"/>
          <w:szCs w:val="18"/>
          <w:u w:val="single"/>
          <w:rtl w:val="0"/>
        </w:rPr>
        <w:t xml:space="preserve">To create a </w:t>
      </w:r>
      <w:r w:rsidDel="00000000" w:rsidR="00000000" w:rsidRPr="00000000">
        <w:rPr>
          <w:color w:val="212121"/>
          <w:sz w:val="18"/>
          <w:szCs w:val="18"/>
          <w:u w:val="single"/>
          <w:rtl w:val="0"/>
        </w:rPr>
        <w:t xml:space="preserve">security</w:t>
      </w:r>
      <w:r w:rsidDel="00000000" w:rsidR="00000000" w:rsidRPr="00000000">
        <w:rPr>
          <w:color w:val="212121"/>
          <w:sz w:val="18"/>
          <w:szCs w:val="18"/>
          <w:u w:val="single"/>
          <w:rtl w:val="0"/>
        </w:rPr>
        <w:t xml:space="preserve"> interest in the debtor's property, the </w:t>
      </w:r>
      <w:r w:rsidDel="00000000" w:rsidR="00000000" w:rsidRPr="00000000">
        <w:rPr>
          <w:color w:val="212121"/>
          <w:sz w:val="18"/>
          <w:szCs w:val="18"/>
          <w:u w:val="single"/>
          <w:rtl w:val="0"/>
        </w:rPr>
        <w:t xml:space="preserve">security</w:t>
      </w:r>
      <w:r w:rsidDel="00000000" w:rsidR="00000000" w:rsidRPr="00000000">
        <w:rPr>
          <w:color w:val="212121"/>
          <w:sz w:val="18"/>
          <w:szCs w:val="18"/>
          <w:u w:val="single"/>
          <w:rtl w:val="0"/>
        </w:rPr>
        <w:t xml:space="preserve"> agreement should clearly state that the debtor grants in favour of the secured party a </w:t>
      </w:r>
      <w:r w:rsidDel="00000000" w:rsidR="00000000" w:rsidRPr="00000000">
        <w:rPr>
          <w:color w:val="212121"/>
          <w:sz w:val="18"/>
          <w:szCs w:val="18"/>
          <w:u w:val="single"/>
          <w:rtl w:val="0"/>
        </w:rPr>
        <w:t xml:space="preserve">security</w:t>
      </w:r>
      <w:r w:rsidDel="00000000" w:rsidR="00000000" w:rsidRPr="00000000">
        <w:rPr>
          <w:color w:val="212121"/>
          <w:sz w:val="18"/>
          <w:szCs w:val="18"/>
          <w:u w:val="single"/>
          <w:rtl w:val="0"/>
        </w:rPr>
        <w:t xml:space="preserve"> interest in the collateral (see below for a discussion of </w:t>
      </w:r>
      <w:r w:rsidDel="00000000" w:rsidR="00000000" w:rsidRPr="00000000">
        <w:rPr>
          <w:i w:val="1"/>
          <w:iCs w:val="1"/>
          <w:color w:val="212121"/>
          <w:sz w:val="18"/>
          <w:szCs w:val="18"/>
          <w:u w:val="single"/>
          <w:rtl w:val="0"/>
        </w:rPr>
        <w:t xml:space="preserve">Collateral Descriptions</w:t>
      </w:r>
      <w:r w:rsidDel="00000000" w:rsidR="00000000" w:rsidRPr="00000000">
        <w:rPr>
          <w:color w:val="212121"/>
          <w:sz w:val="18"/>
          <w:szCs w:val="18"/>
          <w:u w:val="single"/>
          <w:rtl w:val="0"/>
        </w:rPr>
        <w:t xml:space="preserve">).</w:t>
      </w:r>
      <w:r w:rsidDel="00000000" w:rsidR="00000000" w:rsidRPr="00000000">
        <w:rPr>
          <w:color w:val="212121"/>
          <w:sz w:val="18"/>
          <w:szCs w:val="18"/>
          <w:rtl w:val="0"/>
        </w:rPr>
        <w:t xml:space="preserve"> A simple granting clause may read as follows: "For value received, the Debtor hereby grants to the Secured Party,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in all present and after-acquired personal property of the Debtor (including all parts, accessories, attachments, additions and accessions thereto), and in all proceeds thereof (the "Collateral")".</w:t>
      </w:r>
    </w:p>
    <w:p w:rsidR="00000000" w:rsidDel="00000000" w:rsidP="00000000" w:rsidRDefault="00000000" w:rsidRPr="00000000" w14:paraId="00000016">
      <w:pPr>
        <w:pStyle w:val="Heading2"/>
        <w:rPr/>
      </w:pPr>
      <w:bookmarkStart w:colFirst="0" w:colLast="0" w:name="_pa3w36w2v65" w:id="5"/>
      <w:bookmarkEnd w:id="5"/>
      <w:r w:rsidDel="00000000" w:rsidR="00000000" w:rsidRPr="00000000">
        <w:rPr>
          <w:rtl w:val="0"/>
        </w:rPr>
        <w:t xml:space="preserve">Perfection of the Security Interest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After the grant of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which establishes the secured party's rights </w:t>
      </w:r>
      <w:r w:rsidDel="00000000" w:rsidR="00000000" w:rsidRPr="00000000">
        <w:rPr>
          <w:i w:val="1"/>
          <w:iCs w:val="1"/>
          <w:color w:val="212121"/>
          <w:sz w:val="18"/>
          <w:szCs w:val="18"/>
          <w:rtl w:val="0"/>
        </w:rPr>
        <w:t xml:space="preserve">vis-à-vis</w:t>
      </w:r>
      <w:r w:rsidDel="00000000" w:rsidR="00000000" w:rsidRPr="00000000">
        <w:rPr>
          <w:color w:val="212121"/>
          <w:sz w:val="18"/>
          <w:szCs w:val="18"/>
          <w:rtl w:val="0"/>
        </w:rPr>
        <w:t xml:space="preserve"> the debtor, two steps must be taken to ensure that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is enforceable against third parties by "perfecting"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First,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must "attach" to the collateral. This means that value has been given, the debtor has rights in the collateral, and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has been executed. It is thus typical for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to confirm that the secured party has provided value (</w:t>
      </w:r>
      <w:r w:rsidDel="00000000" w:rsidR="00000000" w:rsidRPr="00000000">
        <w:rPr>
          <w:i w:val="1"/>
          <w:iCs w:val="1"/>
          <w:color w:val="212121"/>
          <w:sz w:val="18"/>
          <w:szCs w:val="18"/>
          <w:rtl w:val="0"/>
        </w:rPr>
        <w:t xml:space="preserve">i.e.</w:t>
      </w:r>
      <w:r w:rsidDel="00000000" w:rsidR="00000000" w:rsidRPr="00000000">
        <w:rPr>
          <w:color w:val="212121"/>
          <w:sz w:val="18"/>
          <w:szCs w:val="18"/>
          <w:rtl w:val="0"/>
        </w:rPr>
        <w:t xml:space="preserve">, the loan) in exchange for the grant of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(see </w:t>
      </w:r>
      <w:r w:rsidDel="00000000" w:rsidR="00000000" w:rsidRPr="00000000">
        <w:rPr>
          <w:i w:val="1"/>
          <w:iCs w:val="1"/>
          <w:color w:val="212121"/>
          <w:sz w:val="18"/>
          <w:szCs w:val="18"/>
          <w:rtl w:val="0"/>
        </w:rPr>
        <w:t xml:space="preserve">Granting Clause</w:t>
      </w:r>
      <w:r w:rsidDel="00000000" w:rsidR="00000000" w:rsidRPr="00000000">
        <w:rPr>
          <w:color w:val="212121"/>
          <w:sz w:val="18"/>
          <w:szCs w:val="18"/>
          <w:rtl w:val="0"/>
        </w:rPr>
        <w:t xml:space="preserve"> above) and for the debtor to represent that it has rights in the collateral (see below for a discussion of </w:t>
      </w:r>
      <w:r w:rsidDel="00000000" w:rsidR="00000000" w:rsidRPr="00000000">
        <w:rPr>
          <w:i w:val="1"/>
          <w:iCs w:val="1"/>
          <w:color w:val="212121"/>
          <w:sz w:val="18"/>
          <w:szCs w:val="18"/>
          <w:rtl w:val="0"/>
        </w:rPr>
        <w:t xml:space="preserve">Representations and Warranties</w:t>
      </w:r>
      <w:r w:rsidDel="00000000" w:rsidR="00000000" w:rsidRPr="00000000">
        <w:rPr>
          <w:color w:val="212121"/>
          <w:sz w:val="18"/>
          <w:szCs w:val="18"/>
          <w:rtl w:val="0"/>
        </w:rPr>
        <w:t xml:space="preserve">).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may also specifically state that it is the intention of the parties that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will attach when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is signed by the debtor and delivered to the secured party.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In addition to attachment, for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to be perfected, the secured party must register a financing statement with respect to the collateral, or obtain possession or effective control of the collateral. The standard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typically contemplates that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will be perfected by the filing of a financing statement in the appropriate personal property registry, usually the jurisdiction where the collateral is located. Perfection puts the world on notice of the secured party's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in the collateral and is required in order to have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that is enforceable against parties other than the debtor.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The parties often find it easier to enter into separate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agreements that provide for perfection by methods other than filing when the collateral requires it. These are typically called by different names.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For example, where the secured party must perfect by possession, a pledge agreement is typically executed. Pledge agreements are most often used in connection with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interests over certificated </w:t>
      </w:r>
      <w:r w:rsidDel="00000000" w:rsidR="00000000" w:rsidRPr="00000000">
        <w:rPr>
          <w:color w:val="212121"/>
          <w:sz w:val="18"/>
          <w:szCs w:val="18"/>
          <w:rtl w:val="0"/>
        </w:rPr>
        <w:t xml:space="preserve">securities</w:t>
      </w:r>
      <w:r w:rsidDel="00000000" w:rsidR="00000000" w:rsidRPr="00000000">
        <w:rPr>
          <w:color w:val="212121"/>
          <w:sz w:val="18"/>
          <w:szCs w:val="18"/>
          <w:rtl w:val="0"/>
        </w:rPr>
        <w:t xml:space="preserve"> (</w:t>
      </w:r>
      <w:r w:rsidDel="00000000" w:rsidR="00000000" w:rsidRPr="00000000">
        <w:rPr>
          <w:i w:val="1"/>
          <w:iCs w:val="1"/>
          <w:color w:val="212121"/>
          <w:sz w:val="18"/>
          <w:szCs w:val="18"/>
          <w:rtl w:val="0"/>
        </w:rPr>
        <w:t xml:space="preserve">i.e.</w:t>
      </w:r>
      <w:r w:rsidDel="00000000" w:rsidR="00000000" w:rsidRPr="00000000">
        <w:rPr>
          <w:color w:val="212121"/>
          <w:sz w:val="18"/>
          <w:szCs w:val="18"/>
          <w:rtl w:val="0"/>
        </w:rPr>
        <w:t xml:space="preserve">, shares). For a precedent pledge agreement, see </w:t>
      </w:r>
      <w:hyperlink r:id="rId19">
        <w:r w:rsidDel="00000000" w:rsidR="00000000" w:rsidRPr="00000000">
          <w:rPr>
            <w:color w:val="006ebb"/>
            <w:sz w:val="18"/>
            <w:szCs w:val="18"/>
            <w:u w:val="single"/>
            <w:rtl w:val="0"/>
          </w:rPr>
          <w:t xml:space="preserve">Pledge Agreement</w:t>
        </w:r>
      </w:hyperlink>
      <w:r w:rsidDel="00000000" w:rsidR="00000000" w:rsidRPr="00000000">
        <w:rPr>
          <w:color w:val="212121"/>
          <w:sz w:val="18"/>
          <w:szCs w:val="18"/>
          <w:rtl w:val="0"/>
        </w:rPr>
        <w:t xml:space="preserve">. Where the secured party must perfect by effective control, the parties typically enter into an account control agreement.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Account control agreements are used in connection with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interests in money held in a deposit account or uncertificated </w:t>
      </w:r>
      <w:r w:rsidDel="00000000" w:rsidR="00000000" w:rsidRPr="00000000">
        <w:rPr>
          <w:color w:val="212121"/>
          <w:sz w:val="18"/>
          <w:szCs w:val="18"/>
          <w:rtl w:val="0"/>
        </w:rPr>
        <w:t xml:space="preserve">securities</w:t>
      </w:r>
      <w:r w:rsidDel="00000000" w:rsidR="00000000" w:rsidRPr="00000000">
        <w:rPr>
          <w:color w:val="212121"/>
          <w:sz w:val="18"/>
          <w:szCs w:val="18"/>
          <w:rtl w:val="0"/>
        </w:rPr>
        <w:t xml:space="preserve"> held in a brokerage account.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Recent amendments to the PPSA in Ontario and Saskatchewan also permit a secured party to perfect its interest in electronic chattel paper by control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s. </w:t>
      </w:r>
      <w:hyperlink r:id="rId20">
        <w:r w:rsidDel="00000000" w:rsidR="00000000" w:rsidRPr="00000000">
          <w:rPr>
            <w:color w:val="006ebb"/>
            <w:sz w:val="18"/>
            <w:szCs w:val="18"/>
            <w:u w:val="single"/>
            <w:rtl w:val="0"/>
          </w:rPr>
          <w:t xml:space="preserve">22.2</w:t>
        </w:r>
      </w:hyperlink>
      <w:r w:rsidDel="00000000" w:rsidR="00000000" w:rsidRPr="00000000">
        <w:rPr>
          <w:color w:val="212121"/>
          <w:sz w:val="18"/>
          <w:szCs w:val="18"/>
          <w:rtl w:val="0"/>
        </w:rPr>
        <w:t xml:space="preserve">). To establish perfection of electronic chattel paper by control, the PPSA sets out six criteria which must be met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s. </w:t>
      </w:r>
      <w:hyperlink r:id="rId21">
        <w:r w:rsidDel="00000000" w:rsidR="00000000" w:rsidRPr="00000000">
          <w:rPr>
            <w:color w:val="006ebb"/>
            <w:sz w:val="18"/>
            <w:szCs w:val="18"/>
            <w:u w:val="single"/>
            <w:rtl w:val="0"/>
          </w:rPr>
          <w:t xml:space="preserve">1</w:t>
        </w:r>
      </w:hyperlink>
      <w:r w:rsidDel="00000000" w:rsidR="00000000" w:rsidRPr="00000000">
        <w:rPr>
          <w:color w:val="212121"/>
          <w:sz w:val="18"/>
          <w:szCs w:val="18"/>
          <w:rtl w:val="0"/>
        </w:rPr>
        <w:t xml:space="preserve">(3)). The legislation is silent with respect to the manner in which the criteria for control are to be achieved therefore, to determine whether additional agreements or other steps are needed, secured parties and their counsel should look to the agreements, platforms and management processes currently utilized in the United States where substantially similar provisions have been in place for several years. It should be noted that registration will perfect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in accounts, money or electronic chattel paper without there being an account control or other agreement, but such agreements can provide additional protections.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color w:val="212121"/>
          <w:sz w:val="18"/>
          <w:szCs w:val="18"/>
          <w:rtl w:val="0"/>
        </w:rPr>
        <w:t xml:space="preserve">In order to protect the priority of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it is crucial for the secured party to file a financing statement against the debtor immediately upon the execution of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and consummation of the loan transaction. In fact, it is not uncommon for a secured party to file a financing statement prior to the closing (except that this early filing is not possible in Ontario if the collateral is consumer goods).</w:t>
      </w:r>
      <w:r w:rsidDel="00000000" w:rsidR="00000000" w:rsidRPr="00000000">
        <w:rPr>
          <w:rtl w:val="0"/>
        </w:rPr>
      </w:r>
    </w:p>
    <w:p w:rsidR="00000000" w:rsidDel="00000000" w:rsidP="00000000" w:rsidRDefault="00000000" w:rsidRPr="00000000" w14:paraId="0000001F">
      <w:pPr>
        <w:pStyle w:val="Heading2"/>
        <w:rPr/>
      </w:pPr>
      <w:bookmarkStart w:colFirst="0" w:colLast="0" w:name="_8c39bt8zwqw" w:id="6"/>
      <w:bookmarkEnd w:id="6"/>
      <w:r w:rsidDel="00000000" w:rsidR="00000000" w:rsidRPr="00000000">
        <w:rPr>
          <w:rtl w:val="0"/>
        </w:rPr>
        <w:t xml:space="preserve">Description of Obligations Secured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In many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agreements, the description of secured obligations refers to a defined term in the underlying loan documents and may include principal, interest, fees, secured party expenses and any other amounts owing to the secured party. At other times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will secure any type of present or future obligation of the debtor, including loans and guarantees. It is important to ensure that the description of the obligations secured is consistent with any other loan documents.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The important question, which will be determined through negotiation, is whether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granted in the collateral extends to all obligations or just a subset of the debtor's obligations to the secured party. The obligations could be limited to a particular debt obligation or by dollar amount. If the obligation secured is a specific debt,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should provide for any future advances, if there are to be any. The obligations secured may include performance generally, and not merely the obligation to pay.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A comprehensive obligations secured clause may read as follows: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granted by the debtor to the secured party secures payment and performance of any and all obligations, indebtedness and liability of the debtor (or, if there is more than one debtor, any one or more of them) to the secured party (including interest thereon), present or future, direct or indirect, absolute or contingent, matured or not, extended or renewed, wherever and however incurred, and whether the same is from time to time reduced and thereafter increased or entirely extinguished and thereafter incurred again and whether the debtor is bound alone or with another or others and whether as principal or surety."</w:t>
      </w:r>
    </w:p>
    <w:p w:rsidR="00000000" w:rsidDel="00000000" w:rsidP="00000000" w:rsidRDefault="00000000" w:rsidRPr="00000000" w14:paraId="00000023">
      <w:pPr>
        <w:pStyle w:val="Heading3"/>
        <w:rPr/>
      </w:pPr>
      <w:bookmarkStart w:colFirst="0" w:colLast="0" w:name="_bgblb86r719" w:id="7"/>
      <w:bookmarkEnd w:id="7"/>
      <w:r w:rsidDel="00000000" w:rsidR="00000000" w:rsidRPr="00000000">
        <w:rPr>
          <w:rtl w:val="0"/>
        </w:rPr>
        <w:t xml:space="preserve">Collateral Description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One of the most important provisions of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from the debtor's perspective is the identification of the collateral securing the loan. It is up to the parties to agree on the type of collateral that will be the basis of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Debtor's counsel must make sure that the collateral description (including any sub-definitions contained within the primary definition) accurately describes the collateral that is being encumbered.</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Collateral will usually be limited to personal property, though the PPSA covers fixtures and crops, often categorized as real property. Personal property is defined in most jurisdictions to include goods, chattel paper, documents of title, instruments, money and investment property, </w:t>
      </w:r>
      <w:r w:rsidDel="00000000" w:rsidR="00000000" w:rsidRPr="00000000">
        <w:rPr>
          <w:color w:val="212121"/>
          <w:sz w:val="18"/>
          <w:szCs w:val="18"/>
          <w:rtl w:val="0"/>
        </w:rPr>
        <w:t xml:space="preserve">securities</w:t>
      </w:r>
      <w:r w:rsidDel="00000000" w:rsidR="00000000" w:rsidRPr="00000000">
        <w:rPr>
          <w:color w:val="212121"/>
          <w:sz w:val="18"/>
          <w:szCs w:val="18"/>
          <w:rtl w:val="0"/>
        </w:rPr>
        <w:t xml:space="preserve"> and intangibles.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s. </w:t>
      </w:r>
      <w:hyperlink r:id="rId22">
        <w:r w:rsidDel="00000000" w:rsidR="00000000" w:rsidRPr="00000000">
          <w:rPr>
            <w:color w:val="006ebb"/>
            <w:sz w:val="18"/>
            <w:szCs w:val="18"/>
            <w:u w:val="single"/>
            <w:rtl w:val="0"/>
          </w:rPr>
          <w:t xml:space="preserve">1</w:t>
        </w:r>
      </w:hyperlink>
      <w:r w:rsidDel="00000000" w:rsidR="00000000" w:rsidRPr="00000000">
        <w:rPr>
          <w:color w:val="212121"/>
          <w:sz w:val="18"/>
          <w:szCs w:val="18"/>
          <w:rtl w:val="0"/>
        </w:rPr>
        <w:t xml:space="preserve">(1) "personal property".)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may cross reference PPSA definitions for clarity.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In many cases,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will extend to all of the debtor's existing and after-acquired personal property. However, when the parties wish to limit the scope of the collateral, and even in some cases when the parties intend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to extend to all of the debtor's personal property, careful attention must be paid to certain provisions:</w:t>
      </w:r>
    </w:p>
    <w:p w:rsidR="00000000" w:rsidDel="00000000" w:rsidP="00000000" w:rsidRDefault="00000000" w:rsidRPr="00000000" w14:paraId="00000027">
      <w:pPr>
        <w:pStyle w:val="Heading3"/>
        <w:rPr/>
      </w:pPr>
      <w:bookmarkStart w:colFirst="0" w:colLast="0" w:name="_6mu2rzehitec" w:id="8"/>
      <w:bookmarkEnd w:id="8"/>
      <w:r w:rsidDel="00000000" w:rsidR="00000000" w:rsidRPr="00000000">
        <w:rPr>
          <w:rtl w:val="0"/>
        </w:rPr>
        <w:t xml:space="preserve">Proceeds</w:t>
      </w:r>
    </w:p>
    <w:p w:rsidR="00000000" w:rsidDel="00000000" w:rsidP="00000000" w:rsidRDefault="00000000" w:rsidRPr="00000000" w14:paraId="00000028">
      <w:pPr>
        <w:rPr/>
      </w:pPr>
      <w:r w:rsidDel="00000000" w:rsidR="00000000" w:rsidRPr="00000000">
        <w:rPr>
          <w:rtl w:val="0"/>
        </w:rPr>
        <w:t xml:space="preserve">The term "personal property" does not necessarily include proceeds from the original collateral (or proceeds of those proceeds). (See, for example, Personal Property Security Act, s. </w:t>
      </w:r>
      <w:hyperlink r:id="rId23">
        <w:r w:rsidDel="00000000" w:rsidR="00000000" w:rsidRPr="00000000">
          <w:rPr>
            <w:color w:val="1155cc"/>
            <w:u w:val="single"/>
            <w:rtl w:val="0"/>
          </w:rPr>
          <w:t xml:space="preserve">1</w:t>
        </w:r>
      </w:hyperlink>
      <w:r w:rsidDel="00000000" w:rsidR="00000000" w:rsidRPr="00000000">
        <w:rPr>
          <w:rtl w:val="0"/>
        </w:rPr>
        <w:t xml:space="preserve">(1) "personal property".) As such a security agreement should clearly set out the parties' intentions with respect to whether or not proceeds are intended to be included as collateral. In some cases, the debtor will wish to negotiate a specific carve out for some proceeds (for example, if the debtor is securitizing its receivables in favour of another creditor).</w:t>
      </w:r>
    </w:p>
    <w:p w:rsidR="00000000" w:rsidDel="00000000" w:rsidP="00000000" w:rsidRDefault="00000000" w:rsidRPr="00000000" w14:paraId="00000029">
      <w:pPr>
        <w:pStyle w:val="Heading3"/>
        <w:spacing w:before="460" w:lineRule="auto"/>
        <w:rPr/>
      </w:pPr>
      <w:bookmarkStart w:colFirst="0" w:colLast="0" w:name="_hxh8r2vidydl" w:id="9"/>
      <w:bookmarkEnd w:id="9"/>
      <w:r w:rsidDel="00000000" w:rsidR="00000000" w:rsidRPr="00000000">
        <w:rPr>
          <w:b w:val="1"/>
          <w:bCs w:val="1"/>
          <w:rtl w:val="0"/>
        </w:rPr>
        <w:t xml:space="preserve">After-acquired property</w:t>
      </w: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280" w:before="460" w:lineRule="auto"/>
        <w:ind w:left="0" w:firstLine="0"/>
        <w:rPr>
          <w:color w:val="212121"/>
          <w:sz w:val="18"/>
          <w:szCs w:val="18"/>
        </w:rPr>
      </w:pPr>
      <w:r w:rsidDel="00000000" w:rsidR="00000000" w:rsidRPr="00000000">
        <w:rPr>
          <w:color w:val="212121"/>
          <w:sz w:val="18"/>
          <w:szCs w:val="18"/>
          <w:rtl w:val="0"/>
        </w:rPr>
        <w:t xml:space="preserve">If a secured party wishes to take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in everything in which the debtor has an interest at the moment and in the future (</w:t>
      </w:r>
      <w:r w:rsidDel="00000000" w:rsidR="00000000" w:rsidRPr="00000000">
        <w:rPr>
          <w:i w:val="1"/>
          <w:iCs w:val="1"/>
          <w:color w:val="212121"/>
          <w:sz w:val="18"/>
          <w:szCs w:val="18"/>
          <w:rtl w:val="0"/>
        </w:rPr>
        <w:t xml:space="preserve">i.e.</w:t>
      </w:r>
      <w:r w:rsidDel="00000000" w:rsidR="00000000" w:rsidRPr="00000000">
        <w:rPr>
          <w:color w:val="212121"/>
          <w:sz w:val="18"/>
          <w:szCs w:val="18"/>
          <w:rtl w:val="0"/>
        </w:rPr>
        <w:t xml:space="preserve">, "all present and after-acquired property") this should be clearly stated in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w:t>
      </w:r>
    </w:p>
    <w:p w:rsidR="00000000" w:rsidDel="00000000" w:rsidP="00000000" w:rsidRDefault="00000000" w:rsidRPr="00000000" w14:paraId="0000002B">
      <w:pPr>
        <w:pStyle w:val="Heading3"/>
        <w:rPr/>
      </w:pPr>
      <w:bookmarkStart w:colFirst="0" w:colLast="0" w:name="_jjexv5j3kx1q" w:id="10"/>
      <w:bookmarkEnd w:id="10"/>
      <w:r w:rsidDel="00000000" w:rsidR="00000000" w:rsidRPr="00000000">
        <w:rPr>
          <w:rtl w:val="0"/>
        </w:rPr>
        <w:t xml:space="preserve">Excluded property</w:t>
      </w: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some cases, the debtor may wish to give a priority interest in certain property to another secured party. If so, these particular types, or even particular items, of collateral should be specifically excluded from the collateral definition.</w:t>
      </w:r>
    </w:p>
    <w:p w:rsidR="00000000" w:rsidDel="00000000" w:rsidP="00000000" w:rsidRDefault="00000000" w:rsidRPr="00000000" w14:paraId="0000002D">
      <w:pPr>
        <w:pStyle w:val="Heading3"/>
        <w:spacing w:before="460" w:lineRule="auto"/>
        <w:rPr/>
      </w:pPr>
      <w:bookmarkStart w:colFirst="0" w:colLast="0" w:name="_fomaoo4yrnsc" w:id="11"/>
      <w:bookmarkEnd w:id="11"/>
      <w:r w:rsidDel="00000000" w:rsidR="00000000" w:rsidRPr="00000000">
        <w:rPr>
          <w:b w:val="1"/>
          <w:bCs w:val="1"/>
          <w:rtl w:val="0"/>
        </w:rPr>
        <w:t xml:space="preserve">Accessions</w:t>
      </w:r>
      <w:r w:rsidDel="00000000" w:rsidR="00000000" w:rsidRPr="00000000">
        <w:rPr>
          <w:rtl w:val="0"/>
        </w:rPr>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280" w:before="460" w:lineRule="auto"/>
        <w:ind w:left="0" w:firstLine="0"/>
        <w:rPr>
          <w:color w:val="212121"/>
          <w:sz w:val="18"/>
          <w:szCs w:val="18"/>
        </w:rPr>
      </w:pPr>
      <w:r w:rsidDel="00000000" w:rsidR="00000000" w:rsidRPr="00000000">
        <w:rPr>
          <w:color w:val="212121"/>
          <w:sz w:val="18"/>
          <w:szCs w:val="18"/>
          <w:rtl w:val="0"/>
        </w:rPr>
        <w:t xml:space="preserve">Accessions are goods that are installed in or affixed to other goods. Competitions between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interests in accessions and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in the same thing as a part of the whole are resolved using specific rules pertaining to accessions.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s. </w:t>
      </w:r>
      <w:hyperlink r:id="rId24">
        <w:r w:rsidDel="00000000" w:rsidR="00000000" w:rsidRPr="00000000">
          <w:rPr>
            <w:color w:val="006ebb"/>
            <w:sz w:val="18"/>
            <w:szCs w:val="18"/>
            <w:u w:val="single"/>
            <w:rtl w:val="0"/>
          </w:rPr>
          <w:t xml:space="preserve">35</w:t>
        </w:r>
      </w:hyperlink>
      <w:r w:rsidDel="00000000" w:rsidR="00000000" w:rsidRPr="00000000">
        <w:rPr>
          <w:color w:val="212121"/>
          <w:sz w:val="18"/>
          <w:szCs w:val="18"/>
          <w:rtl w:val="0"/>
        </w:rPr>
        <w:t xml:space="preserve">.) As such, if the parties intend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to encumber accessions, this should be set out in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w:t>
      </w:r>
    </w:p>
    <w:p w:rsidR="00000000" w:rsidDel="00000000" w:rsidP="00000000" w:rsidRDefault="00000000" w:rsidRPr="00000000" w14:paraId="0000002F">
      <w:pPr>
        <w:pStyle w:val="Heading3"/>
        <w:spacing w:before="460" w:lineRule="auto"/>
        <w:rPr/>
      </w:pPr>
      <w:bookmarkStart w:colFirst="0" w:colLast="0" w:name="_782282v7efco" w:id="12"/>
      <w:bookmarkEnd w:id="12"/>
      <w:r w:rsidDel="00000000" w:rsidR="00000000" w:rsidRPr="00000000">
        <w:rPr>
          <w:rtl w:val="0"/>
        </w:rPr>
        <w:t xml:space="preserve">Characterizing the collateral</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80" w:before="460" w:lineRule="auto"/>
        <w:ind w:left="0" w:firstLine="0"/>
        <w:rPr>
          <w:color w:val="212121"/>
          <w:sz w:val="18"/>
          <w:szCs w:val="18"/>
        </w:rPr>
      </w:pPr>
      <w:r w:rsidDel="00000000" w:rsidR="00000000" w:rsidRPr="00000000">
        <w:rPr>
          <w:color w:val="212121"/>
          <w:sz w:val="18"/>
          <w:szCs w:val="18"/>
          <w:rtl w:val="0"/>
        </w:rPr>
        <w:t xml:space="preserve">If the parties only intend to encumber a particular category or a specific item of collateral care should be taken in describing the collateral and, in particular, characterizing the collateral in accordance with PPSA definitions.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s. </w:t>
      </w:r>
      <w:hyperlink r:id="rId25">
        <w:r w:rsidDel="00000000" w:rsidR="00000000" w:rsidRPr="00000000">
          <w:rPr>
            <w:color w:val="006ebb"/>
            <w:sz w:val="18"/>
            <w:szCs w:val="18"/>
            <w:u w:val="single"/>
            <w:rtl w:val="0"/>
          </w:rPr>
          <w:t xml:space="preserve">1</w:t>
        </w:r>
      </w:hyperlink>
      <w:r w:rsidDel="00000000" w:rsidR="00000000" w:rsidRPr="00000000">
        <w:rPr>
          <w:color w:val="212121"/>
          <w:sz w:val="18"/>
          <w:szCs w:val="18"/>
          <w:rtl w:val="0"/>
        </w:rPr>
        <w:t xml:space="preserve">(1) "consumer goods", "equipment", "goods", "inventory".) This can be more complicated than it might seem as personal property is changeable in terms of use and even appearance. The correct term to describe it at one point might not be appropriate when it has another use, is in the hands of a different party or has been adapted in some way. For example, depending on their use, goods may be characterized as inventory, equipment or consumer goods.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language should contemplate these different characterizations if the intent is for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interest to charge the goods irrespective of their use. It should also be noted that, generally, using the word "equipment", without further describing the item or kind of equipment, will be considered an inadequate collateral description. With motor vehicles,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(and any related registrations) should include the vehicle identification numbers.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ss. </w:t>
      </w:r>
      <w:hyperlink r:id="rId26">
        <w:r w:rsidDel="00000000" w:rsidR="00000000" w:rsidRPr="00000000">
          <w:rPr>
            <w:color w:val="006ebb"/>
            <w:sz w:val="18"/>
            <w:szCs w:val="18"/>
            <w:u w:val="single"/>
            <w:rtl w:val="0"/>
          </w:rPr>
          <w:t xml:space="preserve">25</w:t>
        </w:r>
      </w:hyperlink>
      <w:r w:rsidDel="00000000" w:rsidR="00000000" w:rsidRPr="00000000">
        <w:rPr>
          <w:color w:val="212121"/>
          <w:sz w:val="18"/>
          <w:szCs w:val="18"/>
          <w:rtl w:val="0"/>
        </w:rPr>
        <w:t xml:space="preserve">(5) and </w:t>
      </w:r>
      <w:hyperlink r:id="rId27">
        <w:r w:rsidDel="00000000" w:rsidR="00000000" w:rsidRPr="00000000">
          <w:rPr>
            <w:color w:val="006ebb"/>
            <w:sz w:val="18"/>
            <w:szCs w:val="18"/>
            <w:u w:val="single"/>
            <w:rtl w:val="0"/>
          </w:rPr>
          <w:t xml:space="preserve">28</w:t>
        </w:r>
      </w:hyperlink>
      <w:r w:rsidDel="00000000" w:rsidR="00000000" w:rsidRPr="00000000">
        <w:rPr>
          <w:color w:val="212121"/>
          <w:sz w:val="18"/>
          <w:szCs w:val="18"/>
          <w:rtl w:val="0"/>
        </w:rPr>
        <w:t xml:space="preserve">(5).)</w:t>
      </w:r>
    </w:p>
    <w:p w:rsidR="00000000" w:rsidDel="00000000" w:rsidP="00000000" w:rsidRDefault="00000000" w:rsidRPr="00000000" w14:paraId="00000031">
      <w:pPr>
        <w:pStyle w:val="Heading3"/>
        <w:spacing w:before="460" w:lineRule="auto"/>
        <w:rPr/>
      </w:pPr>
      <w:bookmarkStart w:colFirst="0" w:colLast="0" w:name="_53ernjz0c8d7" w:id="13"/>
      <w:bookmarkEnd w:id="13"/>
      <w:r w:rsidDel="00000000" w:rsidR="00000000" w:rsidRPr="00000000">
        <w:rPr>
          <w:b w:val="1"/>
          <w:bCs w:val="1"/>
          <w:rtl w:val="0"/>
        </w:rPr>
        <w:t xml:space="preserve">Shares and investment accounts</w:t>
      </w: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In the case of certificated shares, the collateral description should include the shares being secured (the secured party should also take possession of those shares, endorsed for transfer). In the case of shares held in an investment account, even when the secured party obtains a separate account control agreement, the security agreement should reference these securities.</w:t>
      </w:r>
    </w:p>
    <w:p w:rsidR="00000000" w:rsidDel="00000000" w:rsidP="00000000" w:rsidRDefault="00000000" w:rsidRPr="00000000" w14:paraId="00000033">
      <w:pPr>
        <w:pStyle w:val="Heading3"/>
        <w:spacing w:before="460" w:lineRule="auto"/>
        <w:rPr/>
      </w:pPr>
      <w:bookmarkStart w:colFirst="0" w:colLast="0" w:name="_uc3wf4hn68vw" w:id="14"/>
      <w:bookmarkEnd w:id="14"/>
      <w:r w:rsidDel="00000000" w:rsidR="00000000" w:rsidRPr="00000000">
        <w:rPr>
          <w:b w:val="1"/>
          <w:bCs w:val="1"/>
          <w:rtl w:val="0"/>
        </w:rPr>
        <w:t xml:space="preserve">Consumer goods</w:t>
      </w:r>
      <w:r w:rsidDel="00000000" w:rsidR="00000000" w:rsidRPr="00000000">
        <w:rPr>
          <w:rtl w:val="0"/>
        </w:rPr>
        <w:t xml:space="preserve"> </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clarity, it may be appropriate to except consumer goods from the collateral as they attract additional obligations upon enforcement under the PPSA.</w:t>
      </w:r>
    </w:p>
    <w:p w:rsidR="00000000" w:rsidDel="00000000" w:rsidP="00000000" w:rsidRDefault="00000000" w:rsidRPr="00000000" w14:paraId="00000035">
      <w:pPr>
        <w:pStyle w:val="Heading3"/>
        <w:spacing w:before="460" w:lineRule="auto"/>
        <w:rPr/>
      </w:pPr>
      <w:bookmarkStart w:colFirst="0" w:colLast="0" w:name="_52a8lghinfgb" w:id="15"/>
      <w:bookmarkEnd w:id="15"/>
      <w:r w:rsidDel="00000000" w:rsidR="00000000" w:rsidRPr="00000000">
        <w:rPr>
          <w:b w:val="1"/>
          <w:bCs w:val="1"/>
          <w:rtl w:val="0"/>
        </w:rPr>
        <w:t xml:space="preserve">Last day of the term of any lease</w:t>
      </w:r>
      <w:r w:rsidDel="00000000" w:rsidR="00000000" w:rsidRPr="00000000">
        <w:rPr>
          <w:rtl w:val="0"/>
        </w:rPr>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It is customary to exclude from the definition of collateral the last day of the term of any lease. This ensures the lease itself is not assigned to the secured party by operation of law.</w:t>
      </w:r>
    </w:p>
    <w:p w:rsidR="00000000" w:rsidDel="00000000" w:rsidP="00000000" w:rsidRDefault="00000000" w:rsidRPr="00000000" w14:paraId="00000037">
      <w:pPr>
        <w:pStyle w:val="Heading3"/>
        <w:spacing w:before="460" w:lineRule="auto"/>
        <w:rPr/>
      </w:pPr>
      <w:bookmarkStart w:colFirst="0" w:colLast="0" w:name="_l8gd1jdduq47" w:id="16"/>
      <w:bookmarkEnd w:id="16"/>
      <w:r w:rsidDel="00000000" w:rsidR="00000000" w:rsidRPr="00000000">
        <w:rPr>
          <w:b w:val="1"/>
          <w:bCs w:val="1"/>
          <w:rtl w:val="0"/>
        </w:rPr>
        <w:t xml:space="preserve">Cross-collateralization</w:t>
      </w:r>
      <w:r w:rsidDel="00000000" w:rsidR="00000000" w:rsidRPr="00000000">
        <w:rPr>
          <w:rtl w:val="0"/>
        </w:rPr>
        <w:t xml:space="preserve"> </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debtor should consider the effect of any cross-collateralization provisions, which make collateral for one loan also serve as collateral for another loan. Under this scenario, the debtor may lose the flexibility to sell or separately encumber the collateral upon payment of the debt that was principally secured by the collateral in question.</w:t>
      </w:r>
    </w:p>
    <w:p w:rsidR="00000000" w:rsidDel="00000000" w:rsidP="00000000" w:rsidRDefault="00000000" w:rsidRPr="00000000" w14:paraId="00000039">
      <w:pPr>
        <w:pStyle w:val="Heading3"/>
        <w:rPr/>
      </w:pPr>
      <w:bookmarkStart w:colFirst="0" w:colLast="0" w:name="_a4085fnumand" w:id="17"/>
      <w:bookmarkEnd w:id="17"/>
      <w:r w:rsidDel="00000000" w:rsidR="00000000" w:rsidRPr="00000000">
        <w:rPr>
          <w:rtl w:val="0"/>
        </w:rPr>
        <w:t xml:space="preserve">Representations and Warranties</w:t>
      </w:r>
    </w:p>
    <w:p w:rsidR="00000000" w:rsidDel="00000000" w:rsidP="00000000" w:rsidRDefault="00000000" w:rsidRPr="00000000" w14:paraId="0000003A">
      <w:pPr>
        <w:rPr/>
      </w:pPr>
      <w:r w:rsidDel="00000000" w:rsidR="00000000" w:rsidRPr="00000000">
        <w:rPr>
          <w:rtl w:val="0"/>
        </w:rPr>
        <w:t xml:space="preserve">Some representations and warranties in a security agreement function like the standard representations and warranties in other loan documents (such as due authorization, execution and delivery, and enforceability of the agreement), while others are specific to the collateral and the validity of the secured party's intended security interest (such as the perfection and priority of the security interest being granted). In negotiating a security agreement, counsel should understand the different types of representations and warranties and why they are important.</w:t>
      </w:r>
    </w:p>
    <w:p w:rsidR="00000000" w:rsidDel="00000000" w:rsidP="00000000" w:rsidRDefault="00000000" w:rsidRPr="00000000" w14:paraId="0000003B">
      <w:pPr>
        <w:rPr/>
      </w:pPr>
      <w:r w:rsidDel="00000000" w:rsidR="00000000" w:rsidRPr="00000000">
        <w:rPr>
          <w:rtl w:val="0"/>
        </w:rPr>
        <w:t xml:space="preserve">Representations and warranties in a security agreement typically address the following:</w:t>
      </w:r>
    </w:p>
    <w:p w:rsidR="00000000" w:rsidDel="00000000" w:rsidP="00000000" w:rsidRDefault="00000000" w:rsidRPr="00000000" w14:paraId="0000003C">
      <w:pPr>
        <w:pStyle w:val="Heading4"/>
        <w:rPr/>
      </w:pPr>
      <w:bookmarkStart w:colFirst="0" w:colLast="0" w:name="_48363sg9n60w" w:id="18"/>
      <w:bookmarkEnd w:id="18"/>
      <w:r w:rsidDel="00000000" w:rsidR="00000000" w:rsidRPr="00000000">
        <w:rPr>
          <w:b w:val="1"/>
          <w:bCs w:val="1"/>
          <w:rtl w:val="0"/>
        </w:rPr>
        <w:t xml:space="preserve">Contract formation</w:t>
      </w:r>
      <w:r w:rsidDel="00000000" w:rsidR="00000000" w:rsidRPr="00000000">
        <w:rPr>
          <w:rtl w:val="0"/>
        </w:rPr>
      </w:r>
    </w:p>
    <w:p w:rsidR="00000000" w:rsidDel="00000000" w:rsidP="00000000" w:rsidRDefault="00000000" w:rsidRPr="00000000" w14:paraId="0000003D">
      <w:pPr>
        <w:rPr>
          <w:rFonts w:ascii="Verdana" w:cs="Verdana" w:eastAsia="Verdana" w:hAnsi="Verdana"/>
          <w:color w:val="212121"/>
          <w:sz w:val="18"/>
          <w:szCs w:val="18"/>
        </w:rPr>
      </w:pPr>
      <w:r w:rsidDel="00000000" w:rsidR="00000000" w:rsidRPr="00000000">
        <w:rPr>
          <w:rtl w:val="0"/>
        </w:rPr>
        <w:t xml:space="preserve">As is the case with most sophisticated legal documents, the representations and warranties in a security agreement should cover the fundamentals of contract formation, with the debtor providing baseline assurance as to the due authorization, execution and delivery of the agreement by the debtor, and the essential enforceability of it against the debtor. Representations on this theme may also cover no conflict with applicable law, debtor formation documentation, and certain material contracts. The negotiation of these provisions should generally match the negotiation of comparable provisions in the underlying loan documents. In support of a due authorization representation, the secured party should seek a copy of the authorizing directors' resolution and should review any shareholders' agreements to ensure no additional authorizations are required.</w:t>
      </w:r>
      <w:r w:rsidDel="00000000" w:rsidR="00000000" w:rsidRPr="00000000">
        <w:rPr>
          <w:rtl w:val="0"/>
        </w:rPr>
      </w:r>
    </w:p>
    <w:p w:rsidR="00000000" w:rsidDel="00000000" w:rsidP="00000000" w:rsidRDefault="00000000" w:rsidRPr="00000000" w14:paraId="0000003E">
      <w:pPr>
        <w:pStyle w:val="Heading4"/>
        <w:spacing w:before="460" w:lineRule="auto"/>
        <w:rPr/>
      </w:pPr>
      <w:bookmarkStart w:colFirst="0" w:colLast="0" w:name="_bwxp56z2hmza" w:id="19"/>
      <w:bookmarkEnd w:id="19"/>
      <w:r w:rsidDel="00000000" w:rsidR="00000000" w:rsidRPr="00000000">
        <w:rPr>
          <w:b w:val="1"/>
          <w:bCs w:val="1"/>
          <w:rtl w:val="0"/>
        </w:rPr>
        <w:t xml:space="preserve">Perfection and priority</w:t>
      </w: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Representations and warranties are commonly used to confirm the secured party's perfected status with respect to the collateral. There are certain priority liens which will not be revealed by searching public databases (such as, government super-priority liens for unremitted employee source deductions). For that reason, the debtor may be asked to represent that the secured party has a first priority perfected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 in all collateral, subject to negotiated carve-outs for excluded property or acts of perfection that, for one reason or another, may not be completed until some future date. Representations on this theme may also be more narrowly focused by collateral type. For example, one set of representations may cover the delivery of share certificates and other negotiable collateral, in each case free of any adverse claim. Secured parties should never view these representations as a replacement for fundamental due diligence on their part. Indeed, a breach of any such representations by the debtor will likely trigger a default under the loan documentation, which may be of limited value if the secured party has failed to take appropriate steps to perfect its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 Thus, it is advisable to conduct PPSA and other available searches (such as under the </w:t>
      </w:r>
      <w:r w:rsidDel="00000000" w:rsidR="00000000" w:rsidRPr="00000000">
        <w:rPr>
          <w:rFonts w:ascii="Verdana" w:cs="Verdana" w:eastAsia="Verdana" w:hAnsi="Verdana"/>
          <w:i w:val="1"/>
          <w:iCs w:val="1"/>
          <w:color w:val="212121"/>
          <w:sz w:val="18"/>
          <w:szCs w:val="18"/>
          <w:rtl w:val="0"/>
        </w:rPr>
        <w:t xml:space="preserve">Bank Act</w:t>
      </w:r>
      <w:r w:rsidDel="00000000" w:rsidR="00000000" w:rsidRPr="00000000">
        <w:rPr>
          <w:rFonts w:ascii="Verdana" w:cs="Verdana" w:eastAsia="Verdana" w:hAnsi="Verdana"/>
          <w:color w:val="212121"/>
          <w:sz w:val="18"/>
          <w:szCs w:val="18"/>
          <w:rtl w:val="0"/>
        </w:rPr>
        <w:t xml:space="preserve">, </w:t>
      </w:r>
      <w:hyperlink r:id="rId28">
        <w:r w:rsidDel="00000000" w:rsidR="00000000" w:rsidRPr="00000000">
          <w:rPr>
            <w:rFonts w:ascii="Verdana" w:cs="Verdana" w:eastAsia="Verdana" w:hAnsi="Verdana"/>
            <w:color w:val="006ebb"/>
            <w:sz w:val="18"/>
            <w:szCs w:val="18"/>
            <w:u w:val="single"/>
            <w:rtl w:val="0"/>
          </w:rPr>
          <w:t xml:space="preserve">S.C. 1991, c. 46</w:t>
        </w:r>
      </w:hyperlink>
      <w:r w:rsidDel="00000000" w:rsidR="00000000" w:rsidRPr="00000000">
        <w:rPr>
          <w:rFonts w:ascii="Verdana" w:cs="Verdana" w:eastAsia="Verdana" w:hAnsi="Verdana"/>
          <w:color w:val="212121"/>
          <w:sz w:val="18"/>
          <w:szCs w:val="18"/>
          <w:rtl w:val="0"/>
        </w:rPr>
        <w:t xml:space="preserve">) to confirm the status of the collateral.</w:t>
      </w:r>
    </w:p>
    <w:p w:rsidR="00000000" w:rsidDel="00000000" w:rsidP="00000000" w:rsidRDefault="00000000" w:rsidRPr="00000000" w14:paraId="00000040">
      <w:pPr>
        <w:pStyle w:val="Heading4"/>
        <w:spacing w:before="460" w:lineRule="auto"/>
        <w:rPr/>
      </w:pPr>
      <w:bookmarkStart w:colFirst="0" w:colLast="0" w:name="_hvcieoz01c95" w:id="20"/>
      <w:bookmarkEnd w:id="20"/>
      <w:r w:rsidDel="00000000" w:rsidR="00000000" w:rsidRPr="00000000">
        <w:rPr>
          <w:b w:val="1"/>
          <w:bCs w:val="1"/>
          <w:rtl w:val="0"/>
        </w:rPr>
        <w:t xml:space="preserve">Registration or other perfection requirements</w:t>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key objective of representations and warranties under a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is prompt disclosure of information vital to the determination of the appropriate perfection acts with respect to the collateral package. Many of the representations will concern the types of assets owned by the debtor. The existence of real estate, registered intellectual property, </w:t>
      </w:r>
      <w:r w:rsidDel="00000000" w:rsidR="00000000" w:rsidRPr="00000000">
        <w:rPr>
          <w:rFonts w:ascii="Verdana" w:cs="Verdana" w:eastAsia="Verdana" w:hAnsi="Verdana"/>
          <w:b w:val="1"/>
          <w:bCs w:val="1"/>
          <w:color w:val="212121"/>
          <w:sz w:val="18"/>
          <w:szCs w:val="18"/>
          <w:rtl w:val="0"/>
        </w:rPr>
        <w:t xml:space="preserve">securities</w:t>
      </w:r>
      <w:r w:rsidDel="00000000" w:rsidR="00000000" w:rsidRPr="00000000">
        <w:rPr>
          <w:rFonts w:ascii="Verdana" w:cs="Verdana" w:eastAsia="Verdana" w:hAnsi="Verdana"/>
          <w:color w:val="212121"/>
          <w:sz w:val="18"/>
          <w:szCs w:val="18"/>
          <w:rtl w:val="0"/>
        </w:rPr>
        <w:t xml:space="preserve"> and/or deposit accounts and promissory notes, share certificates, electronic chattel paper, and the like will require action by the secured party, beyond the simple filing of a financing statement, to create a perfected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 to ensure priority and/or to provide additional protections. Similarly, if the representations characterize goods as inventory or consumer goods, additional steps may be required by the secured party to ensure perfection and priority. To ensure financing statements are filed in the appropriate jurisdictions the secured party may require a representation about the location(s) of the collateral and the debtor. A related set of representations will prompt disclosure of recent fundamental activities (such as, for example, recent material asset acquisitions, mergers, or name changes) that may alter the scope of the secured party's review of public information (such as searches under the PPSA, the </w:t>
      </w:r>
      <w:r w:rsidDel="00000000" w:rsidR="00000000" w:rsidRPr="00000000">
        <w:rPr>
          <w:rFonts w:ascii="Verdana" w:cs="Verdana" w:eastAsia="Verdana" w:hAnsi="Verdana"/>
          <w:i w:val="1"/>
          <w:iCs w:val="1"/>
          <w:color w:val="212121"/>
          <w:sz w:val="18"/>
          <w:szCs w:val="18"/>
          <w:rtl w:val="0"/>
        </w:rPr>
        <w:t xml:space="preserve">Bank Act</w:t>
      </w:r>
      <w:r w:rsidDel="00000000" w:rsidR="00000000" w:rsidRPr="00000000">
        <w:rPr>
          <w:rFonts w:ascii="Verdana" w:cs="Verdana" w:eastAsia="Verdana" w:hAnsi="Verdana"/>
          <w:color w:val="212121"/>
          <w:sz w:val="18"/>
          <w:szCs w:val="18"/>
          <w:rtl w:val="0"/>
        </w:rPr>
        <w:t xml:space="preserve">, real property title records, and intellectual property databases) with respect to the status of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interests on the debtor's assets.</w:t>
      </w:r>
    </w:p>
    <w:p w:rsidR="00000000" w:rsidDel="00000000" w:rsidP="00000000" w:rsidRDefault="00000000" w:rsidRPr="00000000" w14:paraId="00000042">
      <w:pPr>
        <w:pStyle w:val="Heading4"/>
        <w:spacing w:before="460" w:lineRule="auto"/>
        <w:rPr/>
      </w:pPr>
      <w:bookmarkStart w:colFirst="0" w:colLast="0" w:name="_8t4sh5dicfm5" w:id="21"/>
      <w:bookmarkEnd w:id="21"/>
      <w:r w:rsidDel="00000000" w:rsidR="00000000" w:rsidRPr="00000000">
        <w:rPr>
          <w:b w:val="1"/>
          <w:bCs w:val="1"/>
          <w:rtl w:val="0"/>
        </w:rPr>
        <w:t xml:space="preserve">Disclosure</w:t>
      </w: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While representations and warranties are often constructed to prompt disclosure, usually through attached disclosure schedules, of collateral information that will drive specific perfection documentation, other secured parties handle these inquiries outside formal documentation, through devices such as due diligence checklists. As long as there is a documented record of the information gathering process, and a general representation that all information delivered by the debtor to the secured party is true, correct and complete in all material respects, the chosen mode of collecting this important information should not be legally significant. Emphasis should be placed, instead, on the breadth of the inquiries and the responsiveness of such inquiries to legal requirements.</w:t>
      </w:r>
    </w:p>
    <w:p w:rsidR="00000000" w:rsidDel="00000000" w:rsidP="00000000" w:rsidRDefault="00000000" w:rsidRPr="00000000" w14:paraId="00000044">
      <w:pPr>
        <w:pStyle w:val="Heading4"/>
        <w:spacing w:before="460" w:lineRule="auto"/>
        <w:rPr/>
      </w:pPr>
      <w:bookmarkStart w:colFirst="0" w:colLast="0" w:name="_cvbr5u47u3fh" w:id="22"/>
      <w:bookmarkEnd w:id="22"/>
      <w:r w:rsidDel="00000000" w:rsidR="00000000" w:rsidRPr="00000000">
        <w:rPr>
          <w:b w:val="1"/>
          <w:bCs w:val="1"/>
          <w:rtl w:val="0"/>
        </w:rPr>
        <w:t xml:space="preserve">Shares and investment accounts</w:t>
      </w: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If shares, bonds or investment accounts have significant value, the secured party should consider requiring additional representations and warranties specifically related to this type of collateral (such as entitlement to dividends and voting rights).</w:t>
      </w:r>
    </w:p>
    <w:p w:rsidR="00000000" w:rsidDel="00000000" w:rsidP="00000000" w:rsidRDefault="00000000" w:rsidRPr="00000000" w14:paraId="00000046">
      <w:pPr>
        <w:pStyle w:val="Heading4"/>
        <w:spacing w:before="460" w:lineRule="auto"/>
        <w:rPr/>
      </w:pPr>
      <w:bookmarkStart w:colFirst="0" w:colLast="0" w:name="_i47suk5ma03" w:id="23"/>
      <w:bookmarkEnd w:id="23"/>
      <w:r w:rsidDel="00000000" w:rsidR="00000000" w:rsidRPr="00000000">
        <w:rPr>
          <w:b w:val="1"/>
          <w:bCs w:val="1"/>
          <w:rtl w:val="0"/>
        </w:rPr>
        <w:t xml:space="preserve">Accounts, chattel paper and instruments</w:t>
      </w:r>
      <w:r w:rsidDel="00000000" w:rsidR="00000000" w:rsidRPr="00000000">
        <w:rPr>
          <w:rtl w:val="0"/>
        </w:rPr>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If accounts, chattel paper and/or instruments have significant value, the secured party should consider requiring additional representations and warranties specifically related to this type of collateral (such as that the accounts, chattel paper and instruments are enforceable against the party obligated to make payment on them). In the case of electronic chattel paper, the secured party should also consider requiring representations and warranties relating to the six criteria which must be met in order to establish perfection by control, such as that a single authoritative record exists that is unique, identifiable and unalterable (except as permitted by the PPSA); that the authoritative record identifies the secured party as the transferee of the record; and that each copy of the authoritative record and any copy of a copy is readily identifiable as a copy that is not the authoritative record. (For a listing of the six criteria, see, for example, </w:t>
      </w:r>
      <w:r w:rsidDel="00000000" w:rsidR="00000000" w:rsidRPr="00000000">
        <w:rPr>
          <w:rFonts w:ascii="Verdana" w:cs="Verdana" w:eastAsia="Verdana" w:hAnsi="Verdana"/>
          <w:i w:val="1"/>
          <w:iCs w:val="1"/>
          <w:color w:val="212121"/>
          <w:sz w:val="18"/>
          <w:szCs w:val="18"/>
          <w:rtl w:val="0"/>
        </w:rPr>
        <w:t xml:space="preserve">Personal Property </w:t>
      </w:r>
      <w:r w:rsidDel="00000000" w:rsidR="00000000" w:rsidRPr="00000000">
        <w:rPr>
          <w:rFonts w:ascii="Verdana" w:cs="Verdana" w:eastAsia="Verdana" w:hAnsi="Verdana"/>
          <w:b w:val="1"/>
          <w:bCs w:val="1"/>
          <w:i w:val="1"/>
          <w:iCs w:val="1"/>
          <w:color w:val="212121"/>
          <w:sz w:val="18"/>
          <w:szCs w:val="18"/>
          <w:rtl w:val="0"/>
        </w:rPr>
        <w:t xml:space="preserve">Security</w:t>
      </w:r>
      <w:r w:rsidDel="00000000" w:rsidR="00000000" w:rsidRPr="00000000">
        <w:rPr>
          <w:rFonts w:ascii="Verdana" w:cs="Verdana" w:eastAsia="Verdana" w:hAnsi="Verdana"/>
          <w:i w:val="1"/>
          <w:iCs w:val="1"/>
          <w:color w:val="212121"/>
          <w:sz w:val="18"/>
          <w:szCs w:val="18"/>
          <w:rtl w:val="0"/>
        </w:rPr>
        <w:t xml:space="preserve"> Act</w:t>
      </w:r>
      <w:r w:rsidDel="00000000" w:rsidR="00000000" w:rsidRPr="00000000">
        <w:rPr>
          <w:rFonts w:ascii="Verdana" w:cs="Verdana" w:eastAsia="Verdana" w:hAnsi="Verdana"/>
          <w:color w:val="212121"/>
          <w:sz w:val="18"/>
          <w:szCs w:val="18"/>
          <w:rtl w:val="0"/>
        </w:rPr>
        <w:t xml:space="preserve">, s. </w:t>
      </w:r>
      <w:hyperlink r:id="rId29">
        <w:r w:rsidDel="00000000" w:rsidR="00000000" w:rsidRPr="00000000">
          <w:rPr>
            <w:rFonts w:ascii="Verdana" w:cs="Verdana" w:eastAsia="Verdana" w:hAnsi="Verdana"/>
            <w:color w:val="006ebb"/>
            <w:sz w:val="18"/>
            <w:szCs w:val="18"/>
            <w:u w:val="single"/>
            <w:rtl w:val="0"/>
          </w:rPr>
          <w:t xml:space="preserve">1</w:t>
        </w:r>
      </w:hyperlink>
      <w:r w:rsidDel="00000000" w:rsidR="00000000" w:rsidRPr="00000000">
        <w:rPr>
          <w:rFonts w:ascii="Verdana" w:cs="Verdana" w:eastAsia="Verdana" w:hAnsi="Verdana"/>
          <w:color w:val="212121"/>
          <w:sz w:val="18"/>
          <w:szCs w:val="18"/>
          <w:rtl w:val="0"/>
        </w:rPr>
        <w:t xml:space="preserve">(3).)</w:t>
      </w:r>
    </w:p>
    <w:p w:rsidR="00000000" w:rsidDel="00000000" w:rsidP="00000000" w:rsidRDefault="00000000" w:rsidRPr="00000000" w14:paraId="00000048">
      <w:pPr>
        <w:pStyle w:val="Heading3"/>
        <w:rPr/>
      </w:pPr>
      <w:bookmarkStart w:colFirst="0" w:colLast="0" w:name="_c87e8of63nx" w:id="24"/>
      <w:bookmarkEnd w:id="24"/>
      <w:r w:rsidDel="00000000" w:rsidR="00000000" w:rsidRPr="00000000">
        <w:rPr>
          <w:rtl w:val="0"/>
        </w:rPr>
        <w:t xml:space="preserve">Covenants</w:t>
      </w:r>
    </w:p>
    <w:p w:rsidR="00000000" w:rsidDel="00000000" w:rsidP="00000000" w:rsidRDefault="00000000" w:rsidRPr="00000000" w14:paraId="00000049">
      <w:pPr>
        <w:rPr/>
      </w:pPr>
      <w:r w:rsidDel="00000000" w:rsidR="00000000" w:rsidRPr="00000000">
        <w:rPr>
          <w:rtl w:val="0"/>
        </w:rPr>
        <w:t xml:space="preserve">As with representations and warranties, security agreements typically contain specific covenants regarding the collateral in addition to or in lieu of analogous provisions in the loan agreement. It is not common to include financial covenants in a security agreement unless they are not included in the underlying loan documents. The following are several common security agreement covenants:</w:t>
      </w:r>
    </w:p>
    <w:p w:rsidR="00000000" w:rsidDel="00000000" w:rsidP="00000000" w:rsidRDefault="00000000" w:rsidRPr="00000000" w14:paraId="0000004A">
      <w:pPr>
        <w:pStyle w:val="Heading4"/>
        <w:rPr/>
      </w:pPr>
      <w:bookmarkStart w:colFirst="0" w:colLast="0" w:name="_e729nl5yumts" w:id="25"/>
      <w:bookmarkEnd w:id="25"/>
      <w:r w:rsidDel="00000000" w:rsidR="00000000" w:rsidRPr="00000000">
        <w:rPr>
          <w:rtl w:val="0"/>
        </w:rPr>
        <w:t xml:space="preserve">Maintaining the collateral free and clear</w:t>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80" w:before="28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 The debtor may covenant to defend the collateral against the claims and demands of all other parties claiming an interest in it; to keep the collateral free from all other encumbrances (except as may be permitted by the secured party); and not to sell, exchange, transfer, assign, lease or otherwise dispose of the collateral or any interest in it without the consent of the secured party, and in any event, to deposit all proceeds of the disposition of any collateral in an account subject to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Often, ordinary course sales of inventory will be excluded from the no disposition covenant. The debtor should also negotiate a provision that allows it to possess, use or operate and enjoy the collateral prior to default, subject to compliance with the covenants. For a sample maintenance of collateral clause, see </w:t>
      </w:r>
      <w:hyperlink r:id="rId30">
        <w:r w:rsidDel="00000000" w:rsidR="00000000" w:rsidRPr="00000000">
          <w:rPr>
            <w:rFonts w:ascii="Verdana" w:cs="Verdana" w:eastAsia="Verdana" w:hAnsi="Verdana"/>
            <w:color w:val="006ebb"/>
            <w:sz w:val="18"/>
            <w:szCs w:val="18"/>
            <w:u w:val="single"/>
            <w:rtl w:val="0"/>
          </w:rPr>
          <w:t xml:space="preserve">Covenants to Protect Collateral Clause (</w:t>
        </w:r>
      </w:hyperlink>
      <w:hyperlink r:id="rId31">
        <w:r w:rsidDel="00000000" w:rsidR="00000000" w:rsidRPr="00000000">
          <w:rPr>
            <w:rFonts w:ascii="Verdana" w:cs="Verdana" w:eastAsia="Verdana" w:hAnsi="Verdana"/>
            <w:b w:val="1"/>
            <w:bCs w:val="1"/>
            <w:color w:val="006ebb"/>
            <w:sz w:val="18"/>
            <w:szCs w:val="18"/>
            <w:u w:val="single"/>
            <w:rtl w:val="0"/>
          </w:rPr>
          <w:t xml:space="preserve">Security</w:t>
        </w:r>
      </w:hyperlink>
      <w:hyperlink r:id="rId32">
        <w:r w:rsidDel="00000000" w:rsidR="00000000" w:rsidRPr="00000000">
          <w:rPr>
            <w:rFonts w:ascii="Verdana" w:cs="Verdana" w:eastAsia="Verdana" w:hAnsi="Verdana"/>
            <w:color w:val="006ebb"/>
            <w:sz w:val="18"/>
            <w:szCs w:val="18"/>
            <w:u w:val="single"/>
            <w:rtl w:val="0"/>
          </w:rPr>
          <w:t xml:space="preserve"> Agreement)</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4C">
      <w:pPr>
        <w:pStyle w:val="Heading4"/>
        <w:spacing w:before="460" w:lineRule="auto"/>
        <w:rPr/>
      </w:pPr>
      <w:bookmarkStart w:colFirst="0" w:colLast="0" w:name="_ve8u3d7cld98" w:id="26"/>
      <w:bookmarkEnd w:id="26"/>
      <w:r w:rsidDel="00000000" w:rsidR="00000000" w:rsidRPr="00000000">
        <w:rPr>
          <w:rtl w:val="0"/>
        </w:rPr>
        <w:t xml:space="preserve">Notification of changes</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debtor may covenant to notify the secured party of any change of its name, of its place of business, chief executive office, or principal residence, or of information contained in the representations and warranties or other disclosure documents, and of any claims, litigation, loss or damage which relates to the debtor or the collateral. This would enable the secured party to take any steps necessary to ensure the collateral value is sufficient to cover the outstanding obligations and/or to take any additional steps necessary to maintain perfection and priority of its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w:t>
      </w:r>
    </w:p>
    <w:p w:rsidR="00000000" w:rsidDel="00000000" w:rsidP="00000000" w:rsidRDefault="00000000" w:rsidRPr="00000000" w14:paraId="0000004E">
      <w:pPr>
        <w:pStyle w:val="Heading4"/>
        <w:spacing w:before="460" w:lineRule="auto"/>
        <w:rPr/>
      </w:pPr>
      <w:bookmarkStart w:colFirst="0" w:colLast="0" w:name="_hsv8ee69jb1a" w:id="27"/>
      <w:bookmarkEnd w:id="27"/>
      <w:r w:rsidDel="00000000" w:rsidR="00000000" w:rsidRPr="00000000">
        <w:rPr>
          <w:b w:val="1"/>
          <w:bCs w:val="1"/>
          <w:rtl w:val="0"/>
        </w:rPr>
        <w:t xml:space="preserve">No removal of collateral</w:t>
      </w: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debtor may covenant not to remove the collateral from the jurisdictions listed in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or other disclosure documents. This is necessary to ensure the secured party's PPSA filings remain valid and that additional filings are not required in other jurisdictions. Exceptions may be made for goods that are of a type that are normally used in more than one jurisdiction, if the goods are equipment or inventory leased or held for lease by a debtor to others, as a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 in this type of goods is perfected by filing in the jurisdiction where the debtor is located, rather than the jurisdiction where the collateral is located. (See, for example, </w:t>
      </w:r>
      <w:r w:rsidDel="00000000" w:rsidR="00000000" w:rsidRPr="00000000">
        <w:rPr>
          <w:rFonts w:ascii="Verdana" w:cs="Verdana" w:eastAsia="Verdana" w:hAnsi="Verdana"/>
          <w:i w:val="1"/>
          <w:iCs w:val="1"/>
          <w:color w:val="212121"/>
          <w:sz w:val="18"/>
          <w:szCs w:val="18"/>
          <w:rtl w:val="0"/>
        </w:rPr>
        <w:t xml:space="preserve">Personal Property </w:t>
      </w:r>
      <w:r w:rsidDel="00000000" w:rsidR="00000000" w:rsidRPr="00000000">
        <w:rPr>
          <w:rFonts w:ascii="Verdana" w:cs="Verdana" w:eastAsia="Verdana" w:hAnsi="Verdana"/>
          <w:b w:val="1"/>
          <w:bCs w:val="1"/>
          <w:i w:val="1"/>
          <w:iCs w:val="1"/>
          <w:color w:val="212121"/>
          <w:sz w:val="18"/>
          <w:szCs w:val="18"/>
          <w:rtl w:val="0"/>
        </w:rPr>
        <w:t xml:space="preserve">Security</w:t>
      </w:r>
      <w:r w:rsidDel="00000000" w:rsidR="00000000" w:rsidRPr="00000000">
        <w:rPr>
          <w:rFonts w:ascii="Verdana" w:cs="Verdana" w:eastAsia="Verdana" w:hAnsi="Verdana"/>
          <w:i w:val="1"/>
          <w:iCs w:val="1"/>
          <w:color w:val="212121"/>
          <w:sz w:val="18"/>
          <w:szCs w:val="18"/>
          <w:rtl w:val="0"/>
        </w:rPr>
        <w:t xml:space="preserve"> Act</w:t>
      </w:r>
      <w:r w:rsidDel="00000000" w:rsidR="00000000" w:rsidRPr="00000000">
        <w:rPr>
          <w:rFonts w:ascii="Verdana" w:cs="Verdana" w:eastAsia="Verdana" w:hAnsi="Verdana"/>
          <w:color w:val="212121"/>
          <w:sz w:val="18"/>
          <w:szCs w:val="18"/>
          <w:rtl w:val="0"/>
        </w:rPr>
        <w:t xml:space="preserve">, s. </w:t>
      </w:r>
      <w:hyperlink r:id="rId33">
        <w:r w:rsidDel="00000000" w:rsidR="00000000" w:rsidRPr="00000000">
          <w:rPr>
            <w:rFonts w:ascii="Verdana" w:cs="Verdana" w:eastAsia="Verdana" w:hAnsi="Verdana"/>
            <w:color w:val="006ebb"/>
            <w:sz w:val="18"/>
            <w:szCs w:val="18"/>
            <w:u w:val="single"/>
            <w:rtl w:val="0"/>
          </w:rPr>
          <w:t xml:space="preserve">7</w:t>
        </w:r>
      </w:hyperlink>
      <w:r w:rsidDel="00000000" w:rsidR="00000000" w:rsidRPr="00000000">
        <w:rPr>
          <w:rFonts w:ascii="Verdana" w:cs="Verdana" w:eastAsia="Verdana" w:hAnsi="Verdana"/>
          <w:color w:val="212121"/>
          <w:sz w:val="18"/>
          <w:szCs w:val="18"/>
          <w:rtl w:val="0"/>
        </w:rPr>
        <w:t xml:space="preserve">(1).)</w:t>
      </w:r>
    </w:p>
    <w:p w:rsidR="00000000" w:rsidDel="00000000" w:rsidP="00000000" w:rsidRDefault="00000000" w:rsidRPr="00000000" w14:paraId="00000050">
      <w:pPr>
        <w:pStyle w:val="Heading4"/>
        <w:spacing w:before="460" w:lineRule="auto"/>
        <w:rPr/>
      </w:pPr>
      <w:bookmarkStart w:colFirst="0" w:colLast="0" w:name="_97vq7r5ax69" w:id="28"/>
      <w:bookmarkEnd w:id="28"/>
      <w:r w:rsidDel="00000000" w:rsidR="00000000" w:rsidRPr="00000000">
        <w:rPr>
          <w:b w:val="1"/>
          <w:bCs w:val="1"/>
          <w:rtl w:val="0"/>
        </w:rPr>
        <w:t xml:space="preserve">Maintain the collateral in good order and in compliance with laws</w:t>
      </w: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debtor may covenant to keep the collateral in good order, condition and repair and not to use it in violation of any agreement with the secured party (including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any policy insuring it, or any applicable law. This is again aimed at ensuring the collateral retains the value on which the secured party is basing its loan amount.</w:t>
      </w:r>
    </w:p>
    <w:p w:rsidR="00000000" w:rsidDel="00000000" w:rsidP="00000000" w:rsidRDefault="00000000" w:rsidRPr="00000000" w14:paraId="00000052">
      <w:pPr>
        <w:pStyle w:val="Heading4"/>
        <w:spacing w:before="460" w:lineRule="auto"/>
        <w:rPr/>
      </w:pPr>
      <w:bookmarkStart w:colFirst="0" w:colLast="0" w:name="_ime1i3kx3on4" w:id="29"/>
      <w:bookmarkEnd w:id="29"/>
      <w:r w:rsidDel="00000000" w:rsidR="00000000" w:rsidRPr="00000000">
        <w:rPr>
          <w:b w:val="1"/>
          <w:bCs w:val="1"/>
          <w:rtl w:val="0"/>
        </w:rPr>
        <w:t xml:space="preserve">Payment of taxes</w:t>
      </w: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In order to ensure no third party liens attach to the collateral, the debtor may covenant to pay when due all taxes and other charges which may be levied against the debtor or the collateral. </w:t>
      </w:r>
    </w:p>
    <w:p w:rsidR="00000000" w:rsidDel="00000000" w:rsidP="00000000" w:rsidRDefault="00000000" w:rsidRPr="00000000" w14:paraId="00000054">
      <w:pPr>
        <w:pStyle w:val="Heading4"/>
        <w:spacing w:before="460" w:lineRule="auto"/>
        <w:rPr/>
      </w:pPr>
      <w:bookmarkStart w:colFirst="0" w:colLast="0" w:name="_vdqy4buljfvf" w:id="30"/>
      <w:bookmarkEnd w:id="30"/>
      <w:r w:rsidDel="00000000" w:rsidR="00000000" w:rsidRPr="00000000">
        <w:rPr>
          <w:b w:val="1"/>
          <w:bCs w:val="1"/>
          <w:rtl w:val="0"/>
        </w:rPr>
        <w:t xml:space="preserve">Insurance.</w:t>
      </w:r>
      <w:r w:rsidDel="00000000" w:rsidR="00000000" w:rsidRPr="00000000">
        <w:rPr>
          <w:rtl w:val="0"/>
        </w:rPr>
        <w:t xml:space="preserve"> </w:t>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debtor may covenant to insure the collateral in such amounts and against such risks as the secured party may direct, with loss payable to the secured party and the debtor, as their respective interests may appear. This is intended to provide the secured party with the benefit of insurance over any of its collateral.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6">
      <w:pPr>
        <w:pStyle w:val="Heading4"/>
        <w:spacing w:before="460" w:lineRule="auto"/>
        <w:rPr/>
      </w:pPr>
      <w:bookmarkStart w:colFirst="0" w:colLast="0" w:name="_w6kuw5wom8xr" w:id="31"/>
      <w:bookmarkEnd w:id="31"/>
      <w:r w:rsidDel="00000000" w:rsidR="00000000" w:rsidRPr="00000000">
        <w:rPr>
          <w:b w:val="1"/>
          <w:bCs w:val="1"/>
          <w:rtl w:val="0"/>
        </w:rPr>
        <w:t xml:space="preserve">Perfection</w:t>
      </w: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pacing w:after="280" w:before="460" w:lineRule="auto"/>
        <w:ind w:left="0" w:firstLine="0"/>
        <w:rPr>
          <w:color w:val="212121"/>
          <w:sz w:val="18"/>
          <w:szCs w:val="18"/>
        </w:rPr>
      </w:pPr>
      <w:r w:rsidDel="00000000" w:rsidR="00000000" w:rsidRPr="00000000">
        <w:rPr>
          <w:color w:val="212121"/>
          <w:sz w:val="18"/>
          <w:szCs w:val="18"/>
          <w:rtl w:val="0"/>
        </w:rPr>
        <w:t xml:space="preserve">The debtor may covenant to deliver any financing statements, financing change statements, assignments, transfers, or other documents as may be reasonably requested by the secured party with respect to the collateral in order to give effect to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The secured party will typically also negotiate a covenant from the debtor to pay the cost of any such registrations.</w:t>
      </w:r>
    </w:p>
    <w:p w:rsidR="00000000" w:rsidDel="00000000" w:rsidP="00000000" w:rsidRDefault="00000000" w:rsidRPr="00000000" w14:paraId="00000058">
      <w:pPr>
        <w:pStyle w:val="Heading4"/>
        <w:spacing w:before="460" w:lineRule="auto"/>
        <w:rPr/>
      </w:pPr>
      <w:bookmarkStart w:colFirst="0" w:colLast="0" w:name="_jaq1imwo3vte" w:id="32"/>
      <w:bookmarkEnd w:id="32"/>
      <w:r w:rsidDel="00000000" w:rsidR="00000000" w:rsidRPr="00000000">
        <w:rPr>
          <w:rtl w:val="0"/>
        </w:rPr>
        <w:t xml:space="preserve">Inspection of collateral</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after="280" w:before="460"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The debtor may covenant to provide the secured party with access to view the collateral. The debtor should try to negotiate reasonable limitations on this access right such as number of visits, timing of access, or even the reason for the access.</w:t>
      </w:r>
    </w:p>
    <w:p w:rsidR="00000000" w:rsidDel="00000000" w:rsidP="00000000" w:rsidRDefault="00000000" w:rsidRPr="00000000" w14:paraId="0000005A">
      <w:pPr>
        <w:pStyle w:val="Heading3"/>
        <w:rPr/>
      </w:pPr>
      <w:bookmarkStart w:colFirst="0" w:colLast="0" w:name="_iae6ls323bvd" w:id="33"/>
      <w:bookmarkEnd w:id="33"/>
      <w:r w:rsidDel="00000000" w:rsidR="00000000" w:rsidRPr="00000000">
        <w:rPr>
          <w:rtl w:val="0"/>
        </w:rPr>
        <w:t xml:space="preserve">Events of Default</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As with representations and warranties and covenants,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agreements generally identify specific events of default. Typically, though, an event of default under the loan agreement triggers an event of default under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(and </w:t>
      </w:r>
      <w:r w:rsidDel="00000000" w:rsidR="00000000" w:rsidRPr="00000000">
        <w:rPr>
          <w:i w:val="1"/>
          <w:iCs w:val="1"/>
          <w:color w:val="212121"/>
          <w:sz w:val="18"/>
          <w:szCs w:val="18"/>
          <w:rtl w:val="0"/>
        </w:rPr>
        <w:t xml:space="preserve">vice versa</w:t>
      </w:r>
      <w:r w:rsidDel="00000000" w:rsidR="00000000" w:rsidRPr="00000000">
        <w:rPr>
          <w:color w:val="212121"/>
          <w:sz w:val="18"/>
          <w:szCs w:val="18"/>
          <w:rtl w:val="0"/>
        </w:rPr>
        <w:t xml:space="preserve">). It is therefore important to ensure that there are no conflicts between the agreements created by having two inconsistent provisions covering the same subject matter.</w:t>
      </w:r>
    </w:p>
    <w:p w:rsidR="00000000" w:rsidDel="00000000" w:rsidP="00000000" w:rsidRDefault="00000000" w:rsidRPr="00000000" w14:paraId="0000005C">
      <w:pPr>
        <w:rPr/>
      </w:pPr>
      <w:r w:rsidDel="00000000" w:rsidR="00000000" w:rsidRPr="00000000">
        <w:rPr>
          <w:rtl w:val="0"/>
        </w:rPr>
        <w:t xml:space="preserve">What constitutes a default in a given secured relationship is up to the parties to negotiate. The PPSA merely defines default as the failure to pay or otherwise perform the obligation secured when due, or the occurrence of an event or set of circumstances that, under the terms of the security agreement, causes the security interest to become enforceable. (See, for example, </w:t>
      </w:r>
      <w:r w:rsidDel="00000000" w:rsidR="00000000" w:rsidRPr="00000000">
        <w:rPr>
          <w:i w:val="1"/>
          <w:iCs w:val="1"/>
          <w:rtl w:val="0"/>
        </w:rPr>
        <w:t xml:space="preserve">Personal Property Security Act</w:t>
      </w:r>
      <w:r w:rsidDel="00000000" w:rsidR="00000000" w:rsidRPr="00000000">
        <w:rPr>
          <w:rtl w:val="0"/>
        </w:rPr>
        <w:t xml:space="preserve">, s. </w:t>
      </w:r>
      <w:hyperlink r:id="rId34">
        <w:r w:rsidDel="00000000" w:rsidR="00000000" w:rsidRPr="00000000">
          <w:rPr>
            <w:color w:val="1155cc"/>
            <w:u w:val="single"/>
            <w:rtl w:val="0"/>
          </w:rPr>
          <w:t xml:space="preserve">1</w:t>
        </w:r>
      </w:hyperlink>
      <w:r w:rsidDel="00000000" w:rsidR="00000000" w:rsidRPr="00000000">
        <w:rPr>
          <w:rtl w:val="0"/>
        </w:rPr>
        <w:t xml:space="preserve">(1) "default".)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Typical events of default are:</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0" w:afterAutospacing="0" w:before="28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 failure to pay on time or failure to pay the right amount;</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 failure to maintain a stipulated financial status or meet certain financial covenants;</w:t>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w:t>
      </w:r>
      <w:r w:rsidDel="00000000" w:rsidR="00000000" w:rsidRPr="00000000">
        <w:rPr>
          <w:rtl w:val="0"/>
        </w:rPr>
        <w:t xml:space="preserve"> </w:t>
      </w:r>
      <w:r w:rsidDel="00000000" w:rsidR="00000000" w:rsidRPr="00000000">
        <w:rPr>
          <w:rFonts w:ascii="Verdana" w:cs="Verdana" w:eastAsia="Verdana" w:hAnsi="Verdana"/>
          <w:color w:val="212121"/>
          <w:sz w:val="18"/>
          <w:szCs w:val="18"/>
          <w:rtl w:val="0"/>
        </w:rPr>
        <w:t xml:space="preserve">if any representation, warranty or other disclosure proves to have been false in any material respect;</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w:t>
      </w:r>
      <w:r w:rsidDel="00000000" w:rsidR="00000000" w:rsidRPr="00000000">
        <w:rPr>
          <w:rtl w:val="0"/>
        </w:rPr>
        <w:t xml:space="preserve"> </w:t>
      </w:r>
      <w:r w:rsidDel="00000000" w:rsidR="00000000" w:rsidRPr="00000000">
        <w:rPr>
          <w:rFonts w:ascii="Verdana" w:cs="Verdana" w:eastAsia="Verdana" w:hAnsi="Verdana"/>
          <w:color w:val="212121"/>
          <w:sz w:val="18"/>
          <w:szCs w:val="18"/>
          <w:rtl w:val="0"/>
        </w:rPr>
        <w:t xml:space="preserve">failure to pay other creditors; and</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pacing w:after="280" w:before="0" w:beforeAutospacing="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w:t>
      </w:r>
      <w:r w:rsidDel="00000000" w:rsidR="00000000" w:rsidRPr="00000000">
        <w:rPr>
          <w:rtl w:val="0"/>
        </w:rPr>
        <w:t xml:space="preserve"> </w:t>
      </w:r>
      <w:r w:rsidDel="00000000" w:rsidR="00000000" w:rsidRPr="00000000">
        <w:rPr>
          <w:rFonts w:ascii="Verdana" w:cs="Verdana" w:eastAsia="Verdana" w:hAnsi="Verdana"/>
          <w:color w:val="212121"/>
          <w:sz w:val="18"/>
          <w:szCs w:val="18"/>
          <w:rtl w:val="0"/>
        </w:rPr>
        <w:t xml:space="preserve">insolvency.</w:t>
      </w:r>
    </w:p>
    <w:p w:rsidR="00000000" w:rsidDel="00000000" w:rsidP="00000000" w:rsidRDefault="00000000" w:rsidRPr="00000000" w14:paraId="00000063">
      <w:pPr>
        <w:rPr/>
      </w:pPr>
      <w:r w:rsidDel="00000000" w:rsidR="00000000" w:rsidRPr="00000000">
        <w:rPr>
          <w:rtl w:val="0"/>
        </w:rPr>
        <w:t xml:space="preserve">Though a security agreement might forbid the transfer of collateral, the PPSA provides that, despite such a provision, the rights of a debtor in collateral may be transferred consensually or by operation of law, but a transfer by the debtor does not prejudice the rights of the secured party under the agreement or otherwise, including the right to treat a prohibited transfer as a default. (See, for example, Personal Property Security Act, s. </w:t>
      </w:r>
      <w:hyperlink r:id="rId35">
        <w:r w:rsidDel="00000000" w:rsidR="00000000" w:rsidRPr="00000000">
          <w:rPr>
            <w:color w:val="1155cc"/>
            <w:u w:val="single"/>
            <w:rtl w:val="0"/>
          </w:rPr>
          <w:t xml:space="preserve">39</w:t>
        </w:r>
      </w:hyperlink>
      <w:r w:rsidDel="00000000" w:rsidR="00000000" w:rsidRPr="00000000">
        <w:rPr>
          <w:rtl w:val="0"/>
        </w:rPr>
        <w:t xml:space="preserve">.)</w:t>
      </w:r>
    </w:p>
    <w:p w:rsidR="00000000" w:rsidDel="00000000" w:rsidP="00000000" w:rsidRDefault="00000000" w:rsidRPr="00000000" w14:paraId="00000064">
      <w:pPr>
        <w:pStyle w:val="Heading3"/>
        <w:rPr/>
      </w:pPr>
      <w:bookmarkStart w:colFirst="0" w:colLast="0" w:name="_2gq54y5p7qwt" w:id="34"/>
      <w:bookmarkEnd w:id="34"/>
      <w:r w:rsidDel="00000000" w:rsidR="00000000" w:rsidRPr="00000000">
        <w:rPr>
          <w:rtl w:val="0"/>
        </w:rPr>
        <w:t xml:space="preserve">Remedies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As compared with other substantive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sections, the remedies section is generally not subject to heavy negotiation, owing to the principle that negotiated compromise ends when a debtor is in default.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agreements generally contain collateral-specific remedies that may not be contained in other loan documentation. As with default provisions, it is important to ensure that the remedies provisions are not inconsistent.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The fundamental remedies available to a secured party upon default, including the appointment of a receiver, collection on accounts, seizure and sale of collateral and foreclosure on the collateral, are rights that exist at law and do not need to be expressly enumerated in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in order to be effective.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Part V.) However, it is customary to include these remedies in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nonetheless.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In addition to statutory remedies, the debtor and the secured party might contractually agree to additional remedies. One remedy often stipulated in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is the right of the secured party to appoint a private receiver in the event of default. If this right is stipulated in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the secured party avoids having to apply to the Court to appoint the receiver.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will often include detailed powers granted to a receiver to ensure the receiver can take all steps necessary to realize upon the collateral on the secured party's behalf.</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It is otherwise unusual to have contractual remedies that do not simply qualify or supplement the statutory remedies as the remedies set out in the PPSA are generally adequate to serve the purposes of the secured party.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A debtor may also be able to negotiate protections that are not expressly provided by statute. For example, a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might provide for a secured party to delay exercising its remedies for a particular period which is longer than the "reasonable notice" period applicable at law. Such enhancements of the debtor's position are enforceable.</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80" w:before="280" w:line="408" w:lineRule="auto"/>
        <w:rPr>
          <w:color w:val="212121"/>
          <w:sz w:val="18"/>
          <w:szCs w:val="18"/>
        </w:rPr>
      </w:pPr>
      <w:r w:rsidDel="00000000" w:rsidR="00000000" w:rsidRPr="00000000">
        <w:rPr>
          <w:color w:val="212121"/>
          <w:sz w:val="18"/>
          <w:szCs w:val="18"/>
          <w:rtl w:val="0"/>
        </w:rPr>
        <w:t xml:space="preserve">However, the PPSA prohibits the variation of several procedural points relating to remedies, to the extent that the remedial provision gives rights to the debtor or imposes obligations on the secured party. (See, for example, </w:t>
      </w:r>
      <w:r w:rsidDel="00000000" w:rsidR="00000000" w:rsidRPr="00000000">
        <w:rPr>
          <w:i w:val="1"/>
          <w:iCs w:val="1"/>
          <w:color w:val="212121"/>
          <w:sz w:val="18"/>
          <w:szCs w:val="18"/>
          <w:rtl w:val="0"/>
        </w:rPr>
        <w:t xml:space="preserve">Personal Property </w:t>
      </w:r>
      <w:r w:rsidDel="00000000" w:rsidR="00000000" w:rsidRPr="00000000">
        <w:rPr>
          <w:i w:val="1"/>
          <w:iCs w:val="1"/>
          <w:color w:val="212121"/>
          <w:sz w:val="18"/>
          <w:szCs w:val="18"/>
          <w:rtl w:val="0"/>
        </w:rPr>
        <w:t xml:space="preserve">Security</w:t>
      </w:r>
      <w:r w:rsidDel="00000000" w:rsidR="00000000" w:rsidRPr="00000000">
        <w:rPr>
          <w:i w:val="1"/>
          <w:iCs w:val="1"/>
          <w:color w:val="212121"/>
          <w:sz w:val="18"/>
          <w:szCs w:val="18"/>
          <w:rtl w:val="0"/>
        </w:rPr>
        <w:t xml:space="preserve"> Act</w:t>
      </w:r>
      <w:r w:rsidDel="00000000" w:rsidR="00000000" w:rsidRPr="00000000">
        <w:rPr>
          <w:color w:val="212121"/>
          <w:sz w:val="18"/>
          <w:szCs w:val="18"/>
          <w:rtl w:val="0"/>
        </w:rPr>
        <w:t xml:space="preserve">, s. </w:t>
      </w:r>
      <w:hyperlink r:id="rId36">
        <w:r w:rsidDel="00000000" w:rsidR="00000000" w:rsidRPr="00000000">
          <w:rPr>
            <w:color w:val="006ebb"/>
            <w:sz w:val="18"/>
            <w:szCs w:val="18"/>
            <w:u w:val="single"/>
            <w:rtl w:val="0"/>
          </w:rPr>
          <w:t xml:space="preserve">59</w:t>
        </w:r>
      </w:hyperlink>
      <w:r w:rsidDel="00000000" w:rsidR="00000000" w:rsidRPr="00000000">
        <w:rPr>
          <w:color w:val="212121"/>
          <w:sz w:val="18"/>
          <w:szCs w:val="18"/>
          <w:rtl w:val="0"/>
        </w:rPr>
        <w:t xml:space="preserve">(5), which prohibits contracting out of the statutory notice requirements for sale of collateral on default and other debtor protections.) Whatever the terms of the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the secured party must act in good faith and in a commercially reasonable manner when selling or otherwise disposing of the collateral. In negotiating </w:t>
      </w:r>
      <w:r w:rsidDel="00000000" w:rsidR="00000000" w:rsidRPr="00000000">
        <w:rPr>
          <w:color w:val="212121"/>
          <w:sz w:val="18"/>
          <w:szCs w:val="18"/>
          <w:rtl w:val="0"/>
        </w:rPr>
        <w:t xml:space="preserve">security</w:t>
      </w:r>
      <w:r w:rsidDel="00000000" w:rsidR="00000000" w:rsidRPr="00000000">
        <w:rPr>
          <w:color w:val="212121"/>
          <w:sz w:val="18"/>
          <w:szCs w:val="18"/>
          <w:rtl w:val="0"/>
        </w:rPr>
        <w:t xml:space="preserve"> agreement terms, there is no advantage to secured parties demanding terms which will be unenforceable in any event.</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b w:val="1"/>
          <w:bCs w:val="1"/>
          <w:i w:val="1"/>
          <w:iCs w:val="1"/>
          <w:color w:val="212121"/>
          <w:sz w:val="18"/>
          <w:szCs w:val="18"/>
        </w:rPr>
      </w:pPr>
      <w:r w:rsidDel="00000000" w:rsidR="00000000" w:rsidRPr="00000000">
        <w:rPr>
          <w:rFonts w:ascii="Verdana" w:cs="Verdana" w:eastAsia="Verdana" w:hAnsi="Verdana"/>
          <w:b w:val="1"/>
          <w:bCs w:val="1"/>
          <w:i w:val="1"/>
          <w:iCs w:val="1"/>
          <w:color w:val="212121"/>
          <w:sz w:val="18"/>
          <w:szCs w:val="18"/>
          <w:rtl w:val="0"/>
        </w:rPr>
        <w:t xml:space="preserve">Miscellaneous Clauses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80" w:before="280" w:line="408" w:lineRule="auto"/>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Secured parties often negotiate the inclusion of the following additional clauses:</w:t>
      </w:r>
    </w:p>
    <w:p w:rsidR="00000000" w:rsidDel="00000000" w:rsidP="00000000" w:rsidRDefault="00000000" w:rsidRPr="00000000" w14:paraId="0000006D">
      <w:pPr>
        <w:numPr>
          <w:ilvl w:val="0"/>
          <w:numId w:val="3"/>
        </w:numPr>
        <w:pBdr>
          <w:top w:color="auto" w:space="0" w:sz="0" w:val="none"/>
          <w:bottom w:color="auto" w:space="0" w:sz="0" w:val="none"/>
          <w:right w:color="auto" w:space="0" w:sz="0" w:val="none"/>
          <w:between w:color="auto" w:space="0" w:sz="0" w:val="none"/>
        </w:pBdr>
        <w:spacing w:after="0" w:afterAutospacing="0" w:before="28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6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b w:val="1"/>
          <w:bCs w:val="1"/>
          <w:color w:val="212121"/>
          <w:sz w:val="18"/>
          <w:szCs w:val="18"/>
          <w:rtl w:val="0"/>
        </w:rPr>
        <w:t xml:space="preserve">Authorization to file.</w:t>
      </w:r>
      <w:r w:rsidDel="00000000" w:rsidR="00000000" w:rsidRPr="00000000">
        <w:rPr>
          <w:rFonts w:ascii="Verdana" w:cs="Verdana" w:eastAsia="Verdana" w:hAnsi="Verdana"/>
          <w:color w:val="212121"/>
          <w:sz w:val="18"/>
          <w:szCs w:val="18"/>
          <w:rtl w:val="0"/>
        </w:rPr>
        <w:t xml:space="preserve"> Pursuant to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the debtor may authorize the secured party to file financing statements, financing change statements or other documents, and take other steps the secured party deems necessary, to perfect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interest, to protect and preserve the collateral and to realize upon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This clause may include the grant to the secured party of power of attorney to do any of the foregoing in the name of the debtor.</w:t>
      </w:r>
    </w:p>
    <w:p w:rsidR="00000000" w:rsidDel="00000000" w:rsidP="00000000" w:rsidRDefault="00000000" w:rsidRPr="00000000" w14:paraId="0000006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7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b w:val="1"/>
          <w:bCs w:val="1"/>
          <w:color w:val="212121"/>
          <w:sz w:val="18"/>
          <w:szCs w:val="18"/>
          <w:rtl w:val="0"/>
        </w:rPr>
        <w:t xml:space="preserve">Set-off.</w:t>
      </w:r>
      <w:r w:rsidDel="00000000" w:rsidR="00000000" w:rsidRPr="00000000">
        <w:rPr>
          <w:rFonts w:ascii="Verdana" w:cs="Verdana" w:eastAsia="Verdana" w:hAnsi="Verdana"/>
          <w:color w:val="212121"/>
          <w:sz w:val="18"/>
          <w:szCs w:val="18"/>
          <w:rtl w:val="0"/>
        </w:rPr>
        <w:t xml:space="preserve">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may permit the secured party to set off against any indebtedness any amounts owed to the debtor by the secured party.</w:t>
      </w:r>
    </w:p>
    <w:p w:rsidR="00000000" w:rsidDel="00000000" w:rsidP="00000000" w:rsidRDefault="00000000" w:rsidRPr="00000000" w14:paraId="00000071">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7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b w:val="1"/>
          <w:bCs w:val="1"/>
          <w:color w:val="212121"/>
          <w:sz w:val="18"/>
          <w:szCs w:val="18"/>
          <w:rtl w:val="0"/>
        </w:rPr>
        <w:t xml:space="preserve">Extensions of time, </w:t>
      </w:r>
      <w:r w:rsidDel="00000000" w:rsidR="00000000" w:rsidRPr="00000000">
        <w:rPr>
          <w:rFonts w:ascii="Verdana" w:cs="Verdana" w:eastAsia="Verdana" w:hAnsi="Verdana"/>
          <w:b w:val="1"/>
          <w:bCs w:val="1"/>
          <w:i w:val="1"/>
          <w:iCs w:val="1"/>
          <w:color w:val="212121"/>
          <w:sz w:val="18"/>
          <w:szCs w:val="18"/>
          <w:rtl w:val="0"/>
        </w:rPr>
        <w:t xml:space="preserve">etc.</w:t>
      </w:r>
      <w:r w:rsidDel="00000000" w:rsidR="00000000" w:rsidRPr="00000000">
        <w:rPr>
          <w:rFonts w:ascii="Verdana" w:cs="Verdana" w:eastAsia="Verdana" w:hAnsi="Verdana"/>
          <w:color w:val="212121"/>
          <w:sz w:val="18"/>
          <w:szCs w:val="18"/>
          <w:rtl w:val="0"/>
        </w:rPr>
        <w:t xml:space="preserve"> It is common for a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to contain a clause which permits the secured party to grant extensions of time and other indulgences, give up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accept compositions, compound, compromise, settle, grant releases and discharges and otherwise deal with the debtor, any guarantors and others, and with the collateral and any other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without prejudice to the liability of the debtor or the secured party's right to realize upon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This can be beneficial to both parties as it allows for debt compromises or forbearance agreements without risk to the secured party's collateral position.</w:t>
      </w:r>
    </w:p>
    <w:p w:rsidR="00000000" w:rsidDel="00000000" w:rsidP="00000000" w:rsidRDefault="00000000" w:rsidRPr="00000000" w14:paraId="0000007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hd w:fill="auto" w:val="clear"/>
        </w:rPr>
      </w:pP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74">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720" w:hanging="360"/>
        <w:rPr>
          <w:shd w:fill="auto" w:val="clear"/>
        </w:rPr>
      </w:pPr>
      <w:r w:rsidDel="00000000" w:rsidR="00000000" w:rsidRPr="00000000">
        <w:rPr>
          <w:rFonts w:ascii="Verdana" w:cs="Verdana" w:eastAsia="Verdana" w:hAnsi="Verdana"/>
          <w:b w:val="1"/>
          <w:bCs w:val="1"/>
          <w:color w:val="212121"/>
          <w:sz w:val="18"/>
          <w:szCs w:val="18"/>
          <w:rtl w:val="0"/>
        </w:rPr>
        <w:t xml:space="preserve">Copy of agreement.</w:t>
      </w:r>
      <w:r w:rsidDel="00000000" w:rsidR="00000000" w:rsidRPr="00000000">
        <w:rPr>
          <w:rFonts w:ascii="Verdana" w:cs="Verdana" w:eastAsia="Verdana" w:hAnsi="Verdana"/>
          <w:color w:val="212121"/>
          <w:sz w:val="18"/>
          <w:szCs w:val="18"/>
          <w:rtl w:val="0"/>
        </w:rPr>
        <w:t xml:space="preserve"> To ensure compliance with the PPSA, the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 may specifically require the debtor to acknowledge receipt of a copy of it. (For an example of the provision requiring delivery of the agreement, see </w:t>
      </w:r>
      <w:r w:rsidDel="00000000" w:rsidR="00000000" w:rsidRPr="00000000">
        <w:rPr>
          <w:rFonts w:ascii="Verdana" w:cs="Verdana" w:eastAsia="Verdana" w:hAnsi="Verdana"/>
          <w:i w:val="1"/>
          <w:iCs w:val="1"/>
          <w:color w:val="212121"/>
          <w:sz w:val="18"/>
          <w:szCs w:val="18"/>
          <w:rtl w:val="0"/>
        </w:rPr>
        <w:t xml:space="preserve">Personal Property </w:t>
      </w:r>
      <w:r w:rsidDel="00000000" w:rsidR="00000000" w:rsidRPr="00000000">
        <w:rPr>
          <w:rFonts w:ascii="Verdana" w:cs="Verdana" w:eastAsia="Verdana" w:hAnsi="Verdana"/>
          <w:b w:val="1"/>
          <w:bCs w:val="1"/>
          <w:i w:val="1"/>
          <w:iCs w:val="1"/>
          <w:color w:val="212121"/>
          <w:sz w:val="18"/>
          <w:szCs w:val="18"/>
          <w:rtl w:val="0"/>
        </w:rPr>
        <w:t xml:space="preserve">Security</w:t>
      </w:r>
      <w:r w:rsidDel="00000000" w:rsidR="00000000" w:rsidRPr="00000000">
        <w:rPr>
          <w:rFonts w:ascii="Verdana" w:cs="Verdana" w:eastAsia="Verdana" w:hAnsi="Verdana"/>
          <w:i w:val="1"/>
          <w:iCs w:val="1"/>
          <w:color w:val="212121"/>
          <w:sz w:val="18"/>
          <w:szCs w:val="18"/>
          <w:rtl w:val="0"/>
        </w:rPr>
        <w:t xml:space="preserve"> Act</w:t>
      </w:r>
      <w:r w:rsidDel="00000000" w:rsidR="00000000" w:rsidRPr="00000000">
        <w:rPr>
          <w:rFonts w:ascii="Verdana" w:cs="Verdana" w:eastAsia="Verdana" w:hAnsi="Verdana"/>
          <w:color w:val="212121"/>
          <w:sz w:val="18"/>
          <w:szCs w:val="18"/>
          <w:rtl w:val="0"/>
        </w:rPr>
        <w:t xml:space="preserve">, s. </w:t>
      </w:r>
      <w:hyperlink r:id="rId37">
        <w:r w:rsidDel="00000000" w:rsidR="00000000" w:rsidRPr="00000000">
          <w:rPr>
            <w:rFonts w:ascii="Verdana" w:cs="Verdana" w:eastAsia="Verdana" w:hAnsi="Verdana"/>
            <w:color w:val="006ebb"/>
            <w:sz w:val="18"/>
            <w:szCs w:val="18"/>
            <w:u w:val="single"/>
            <w:rtl w:val="0"/>
          </w:rPr>
          <w:t xml:space="preserve">10</w:t>
        </w:r>
      </w:hyperlink>
      <w:r w:rsidDel="00000000" w:rsidR="00000000" w:rsidRPr="00000000">
        <w:rPr>
          <w:rFonts w:ascii="Verdana" w:cs="Verdana" w:eastAsia="Verdana" w:hAnsi="Verdana"/>
          <w:color w:val="212121"/>
          <w:sz w:val="18"/>
          <w:szCs w:val="18"/>
          <w:rtl w:val="0"/>
        </w:rPr>
        <w:t xml:space="preserve">). Outside of Ontario, the secured party is also required to furnish a copy of the financing statement or a related verification statement to the debtor, unless the debtor has waived in writing its right to receive the copy. (See, for example, </w:t>
      </w:r>
      <w:r w:rsidDel="00000000" w:rsidR="00000000" w:rsidRPr="00000000">
        <w:rPr>
          <w:rFonts w:ascii="Verdana" w:cs="Verdana" w:eastAsia="Verdana" w:hAnsi="Verdana"/>
          <w:i w:val="1"/>
          <w:iCs w:val="1"/>
          <w:color w:val="212121"/>
          <w:sz w:val="18"/>
          <w:szCs w:val="18"/>
          <w:rtl w:val="0"/>
        </w:rPr>
        <w:t xml:space="preserve">Personal Property </w:t>
      </w:r>
      <w:r w:rsidDel="00000000" w:rsidR="00000000" w:rsidRPr="00000000">
        <w:rPr>
          <w:rFonts w:ascii="Verdana" w:cs="Verdana" w:eastAsia="Verdana" w:hAnsi="Verdana"/>
          <w:b w:val="1"/>
          <w:bCs w:val="1"/>
          <w:i w:val="1"/>
          <w:iCs w:val="1"/>
          <w:color w:val="212121"/>
          <w:sz w:val="18"/>
          <w:szCs w:val="18"/>
          <w:rtl w:val="0"/>
        </w:rPr>
        <w:t xml:space="preserve">Security</w:t>
      </w:r>
      <w:r w:rsidDel="00000000" w:rsidR="00000000" w:rsidRPr="00000000">
        <w:rPr>
          <w:rFonts w:ascii="Verdana" w:cs="Verdana" w:eastAsia="Verdana" w:hAnsi="Verdana"/>
          <w:i w:val="1"/>
          <w:iCs w:val="1"/>
          <w:color w:val="212121"/>
          <w:sz w:val="18"/>
          <w:szCs w:val="18"/>
          <w:rtl w:val="0"/>
        </w:rPr>
        <w:t xml:space="preserve"> Act</w:t>
      </w:r>
      <w:r w:rsidDel="00000000" w:rsidR="00000000" w:rsidRPr="00000000">
        <w:rPr>
          <w:rFonts w:ascii="Verdana" w:cs="Verdana" w:eastAsia="Verdana" w:hAnsi="Verdana"/>
          <w:color w:val="212121"/>
          <w:sz w:val="18"/>
          <w:szCs w:val="18"/>
          <w:rtl w:val="0"/>
        </w:rPr>
        <w:t xml:space="preserve">, </w:t>
      </w:r>
      <w:hyperlink r:id="rId38">
        <w:r w:rsidDel="00000000" w:rsidR="00000000" w:rsidRPr="00000000">
          <w:rPr>
            <w:rFonts w:ascii="Verdana" w:cs="Verdana" w:eastAsia="Verdana" w:hAnsi="Verdana"/>
            <w:color w:val="006ebb"/>
            <w:sz w:val="18"/>
            <w:szCs w:val="18"/>
            <w:u w:val="single"/>
            <w:rtl w:val="0"/>
          </w:rPr>
          <w:t xml:space="preserve">R.S.B.C. 1996, c. 359</w:t>
        </w:r>
      </w:hyperlink>
      <w:r w:rsidDel="00000000" w:rsidR="00000000" w:rsidRPr="00000000">
        <w:rPr>
          <w:rFonts w:ascii="Verdana" w:cs="Verdana" w:eastAsia="Verdana" w:hAnsi="Verdana"/>
          <w:color w:val="212121"/>
          <w:sz w:val="18"/>
          <w:szCs w:val="18"/>
          <w:rtl w:val="0"/>
        </w:rPr>
        <w:t xml:space="preserve">, s. </w:t>
      </w:r>
      <w:hyperlink r:id="rId39">
        <w:r w:rsidDel="00000000" w:rsidR="00000000" w:rsidRPr="00000000">
          <w:rPr>
            <w:rFonts w:ascii="Verdana" w:cs="Verdana" w:eastAsia="Verdana" w:hAnsi="Verdana"/>
            <w:color w:val="006ebb"/>
            <w:sz w:val="18"/>
            <w:szCs w:val="18"/>
            <w:u w:val="single"/>
            <w:rtl w:val="0"/>
          </w:rPr>
          <w:t xml:space="preserve">43</w:t>
        </w:r>
      </w:hyperlink>
      <w:r w:rsidDel="00000000" w:rsidR="00000000" w:rsidRPr="00000000">
        <w:rPr>
          <w:rFonts w:ascii="Verdana" w:cs="Verdana" w:eastAsia="Verdana" w:hAnsi="Verdana"/>
          <w:color w:val="212121"/>
          <w:sz w:val="18"/>
          <w:szCs w:val="18"/>
          <w:rtl w:val="0"/>
        </w:rPr>
        <w:t xml:space="preserve">(15)). Thus, </w:t>
      </w:r>
      <w:r w:rsidDel="00000000" w:rsidR="00000000" w:rsidRPr="00000000">
        <w:rPr>
          <w:rFonts w:ascii="Verdana" w:cs="Verdana" w:eastAsia="Verdana" w:hAnsi="Verdana"/>
          <w:b w:val="1"/>
          <w:bCs w:val="1"/>
          <w:color w:val="212121"/>
          <w:sz w:val="18"/>
          <w:szCs w:val="18"/>
          <w:rtl w:val="0"/>
        </w:rPr>
        <w:t xml:space="preserve">security</w:t>
      </w:r>
      <w:r w:rsidDel="00000000" w:rsidR="00000000" w:rsidRPr="00000000">
        <w:rPr>
          <w:rFonts w:ascii="Verdana" w:cs="Verdana" w:eastAsia="Verdana" w:hAnsi="Verdana"/>
          <w:color w:val="212121"/>
          <w:sz w:val="18"/>
          <w:szCs w:val="18"/>
          <w:rtl w:val="0"/>
        </w:rPr>
        <w:t xml:space="preserve"> agreements outside of Ontario often contain such a waiver.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In the Caribbean, the registration of security interests against </w:t>
      </w:r>
      <w:r w:rsidDel="00000000" w:rsidR="00000000" w:rsidRPr="00000000">
        <w:rPr>
          <w:b w:val="1"/>
          <w:bCs w:val="1"/>
          <w:rtl w:val="0"/>
        </w:rPr>
        <w:t xml:space="preserve">chattel paper</w:t>
      </w:r>
      <w:r w:rsidDel="00000000" w:rsidR="00000000" w:rsidRPr="00000000">
        <w:rPr>
          <w:rtl w:val="0"/>
        </w:rPr>
        <w:t xml:space="preserve"> varies by jurisdiction, depending on the legal framework and whether it incorporates modern personal property security laws similar to those in Canada or the United States. Here are some jurisdictions in the Caribbean where registering such security interests is possible:</w:t>
      </w:r>
    </w:p>
    <w:p w:rsidR="00000000" w:rsidDel="00000000" w:rsidP="00000000" w:rsidRDefault="00000000" w:rsidRPr="00000000" w14:paraId="0000007B">
      <w:pPr>
        <w:pStyle w:val="Heading3"/>
        <w:spacing w:after="80" w:line="408" w:lineRule="auto"/>
        <w:rPr>
          <w:b w:val="1"/>
          <w:bCs w:val="1"/>
        </w:rPr>
      </w:pPr>
      <w:bookmarkStart w:colFirst="0" w:colLast="0" w:name="_tkz6ch1m96ig" w:id="35"/>
      <w:bookmarkEnd w:id="35"/>
      <w:r w:rsidDel="00000000" w:rsidR="00000000" w:rsidRPr="00000000">
        <w:rPr>
          <w:b w:val="1"/>
          <w:bCs w:val="1"/>
          <w:rtl w:val="0"/>
        </w:rPr>
        <w:t xml:space="preserve">1. Jamaica</w:t>
      </w:r>
    </w:p>
    <w:p w:rsidR="00000000" w:rsidDel="00000000" w:rsidP="00000000" w:rsidRDefault="00000000" w:rsidRPr="00000000" w14:paraId="0000007C">
      <w:pPr>
        <w:numPr>
          <w:ilvl w:val="0"/>
          <w:numId w:val="2"/>
        </w:numPr>
        <w:spacing w:after="0" w:afterAutospacing="0" w:before="240" w:lineRule="auto"/>
        <w:ind w:left="720" w:hanging="360"/>
        <w:jc w:val="left"/>
      </w:pPr>
      <w:r w:rsidDel="00000000" w:rsidR="00000000" w:rsidRPr="00000000">
        <w:rPr>
          <w:b w:val="1"/>
          <w:bCs w:val="1"/>
          <w:rtl w:val="0"/>
        </w:rPr>
        <w:t xml:space="preserve">Legal Framework</w:t>
      </w:r>
      <w:r w:rsidDel="00000000" w:rsidR="00000000" w:rsidRPr="00000000">
        <w:rPr>
          <w:rtl w:val="0"/>
        </w:rPr>
        <w:t xml:space="preserve">: </w:t>
      </w:r>
      <w:r w:rsidDel="00000000" w:rsidR="00000000" w:rsidRPr="00000000">
        <w:rPr>
          <w:b w:val="1"/>
          <w:bCs w:val="1"/>
          <w:rtl w:val="0"/>
        </w:rPr>
        <w:t xml:space="preserve">Security Interests in Personal Property Act (SIPPA)</w:t>
      </w:r>
      <w:r w:rsidDel="00000000" w:rsidR="00000000" w:rsidRPr="00000000">
        <w:rPr>
          <w:rtl w:val="0"/>
        </w:rPr>
        <w:t xml:space="preserve"> (2013).</w:t>
      </w:r>
    </w:p>
    <w:p w:rsidR="00000000" w:rsidDel="00000000" w:rsidP="00000000" w:rsidRDefault="00000000" w:rsidRPr="00000000" w14:paraId="0000007D">
      <w:pPr>
        <w:numPr>
          <w:ilvl w:val="0"/>
          <w:numId w:val="2"/>
        </w:numPr>
        <w:spacing w:after="0" w:afterAutospacing="0" w:before="0" w:beforeAutospacing="0" w:lineRule="auto"/>
        <w:ind w:left="720" w:hanging="360"/>
        <w:jc w:val="left"/>
      </w:pPr>
      <w:r w:rsidDel="00000000" w:rsidR="00000000" w:rsidRPr="00000000">
        <w:rPr>
          <w:rtl w:val="0"/>
        </w:rPr>
        <w:t xml:space="preserve">SIPPA allows for the creation and registration of security interests in movable property, including chattel paper.</w:t>
      </w:r>
    </w:p>
    <w:p w:rsidR="00000000" w:rsidDel="00000000" w:rsidP="00000000" w:rsidRDefault="00000000" w:rsidRPr="00000000" w14:paraId="0000007E">
      <w:pPr>
        <w:numPr>
          <w:ilvl w:val="0"/>
          <w:numId w:val="2"/>
        </w:numPr>
        <w:spacing w:after="240" w:before="0" w:beforeAutospacing="0" w:lineRule="auto"/>
        <w:ind w:left="720" w:hanging="360"/>
        <w:jc w:val="left"/>
      </w:pPr>
      <w:r w:rsidDel="00000000" w:rsidR="00000000" w:rsidRPr="00000000">
        <w:rPr>
          <w:rtl w:val="0"/>
        </w:rPr>
        <w:t xml:space="preserve">A centralized online </w:t>
      </w:r>
      <w:r w:rsidDel="00000000" w:rsidR="00000000" w:rsidRPr="00000000">
        <w:rPr>
          <w:b w:val="1"/>
          <w:bCs w:val="1"/>
          <w:rtl w:val="0"/>
        </w:rPr>
        <w:t xml:space="preserve">Security Interest Registry</w:t>
      </w:r>
      <w:r w:rsidDel="00000000" w:rsidR="00000000" w:rsidRPr="00000000">
        <w:rPr>
          <w:rtl w:val="0"/>
        </w:rPr>
        <w:t xml:space="preserve"> facilitates the registration and search of interests.</w:t>
      </w:r>
    </w:p>
    <w:p w:rsidR="00000000" w:rsidDel="00000000" w:rsidP="00000000" w:rsidRDefault="00000000" w:rsidRPr="00000000" w14:paraId="0000007F">
      <w:pPr>
        <w:pStyle w:val="Heading3"/>
        <w:spacing w:after="80" w:line="408" w:lineRule="auto"/>
        <w:rPr>
          <w:b w:val="1"/>
          <w:bCs w:val="1"/>
        </w:rPr>
      </w:pPr>
      <w:bookmarkStart w:colFirst="0" w:colLast="0" w:name="_vu3pjx9of9l5" w:id="36"/>
      <w:bookmarkEnd w:id="36"/>
      <w:r w:rsidDel="00000000" w:rsidR="00000000" w:rsidRPr="00000000">
        <w:rPr>
          <w:b w:val="1"/>
          <w:bCs w:val="1"/>
          <w:rtl w:val="0"/>
        </w:rPr>
        <w:t xml:space="preserve">2. Barbados</w:t>
      </w:r>
    </w:p>
    <w:p w:rsidR="00000000" w:rsidDel="00000000" w:rsidP="00000000" w:rsidRDefault="00000000" w:rsidRPr="00000000" w14:paraId="00000080">
      <w:pPr>
        <w:numPr>
          <w:ilvl w:val="0"/>
          <w:numId w:val="7"/>
        </w:numPr>
        <w:spacing w:after="0" w:afterAutospacing="0" w:before="240" w:lineRule="auto"/>
        <w:ind w:left="720" w:hanging="360"/>
        <w:jc w:val="left"/>
      </w:pPr>
      <w:r w:rsidDel="00000000" w:rsidR="00000000" w:rsidRPr="00000000">
        <w:rPr>
          <w:b w:val="1"/>
          <w:bCs w:val="1"/>
          <w:rtl w:val="0"/>
        </w:rPr>
        <w:t xml:space="preserve">Legal Framework</w:t>
      </w:r>
      <w:r w:rsidDel="00000000" w:rsidR="00000000" w:rsidRPr="00000000">
        <w:rPr>
          <w:rtl w:val="0"/>
        </w:rPr>
        <w:t xml:space="preserve">: </w:t>
      </w:r>
      <w:r w:rsidDel="00000000" w:rsidR="00000000" w:rsidRPr="00000000">
        <w:rPr>
          <w:b w:val="1"/>
          <w:bCs w:val="1"/>
          <w:rtl w:val="0"/>
        </w:rPr>
        <w:t xml:space="preserve">Barbados Personal Property Security Act (PPSA)</w:t>
      </w:r>
      <w:r w:rsidDel="00000000" w:rsidR="00000000" w:rsidRPr="00000000">
        <w:rPr>
          <w:rtl w:val="0"/>
        </w:rPr>
        <w:t xml:space="preserve"> (2009).</w:t>
      </w:r>
    </w:p>
    <w:p w:rsidR="00000000" w:rsidDel="00000000" w:rsidP="00000000" w:rsidRDefault="00000000" w:rsidRPr="00000000" w14:paraId="00000081">
      <w:pPr>
        <w:numPr>
          <w:ilvl w:val="0"/>
          <w:numId w:val="7"/>
        </w:numPr>
        <w:spacing w:after="0" w:afterAutospacing="0" w:before="0" w:beforeAutospacing="0" w:lineRule="auto"/>
        <w:ind w:left="720" w:hanging="360"/>
        <w:jc w:val="left"/>
      </w:pPr>
      <w:r w:rsidDel="00000000" w:rsidR="00000000" w:rsidRPr="00000000">
        <w:rPr>
          <w:rtl w:val="0"/>
        </w:rPr>
        <w:t xml:space="preserve">This act, modeled after Canadian PPSAs, recognizes chattel paper as a type of collateral.</w:t>
      </w:r>
    </w:p>
    <w:p w:rsidR="00000000" w:rsidDel="00000000" w:rsidP="00000000" w:rsidRDefault="00000000" w:rsidRPr="00000000" w14:paraId="00000082">
      <w:pPr>
        <w:numPr>
          <w:ilvl w:val="0"/>
          <w:numId w:val="7"/>
        </w:numPr>
        <w:spacing w:after="240" w:before="0" w:beforeAutospacing="0" w:lineRule="auto"/>
        <w:ind w:left="720" w:hanging="360"/>
        <w:jc w:val="left"/>
      </w:pPr>
      <w:r w:rsidDel="00000000" w:rsidR="00000000" w:rsidRPr="00000000">
        <w:rPr>
          <w:rtl w:val="0"/>
        </w:rPr>
        <w:t xml:space="preserve">Security interests can be registered in the </w:t>
      </w:r>
      <w:r w:rsidDel="00000000" w:rsidR="00000000" w:rsidRPr="00000000">
        <w:rPr>
          <w:b w:val="1"/>
          <w:bCs w:val="1"/>
          <w:rtl w:val="0"/>
        </w:rPr>
        <w:t xml:space="preserve">Personal Property Registry</w:t>
      </w:r>
      <w:r w:rsidDel="00000000" w:rsidR="00000000" w:rsidRPr="00000000">
        <w:rPr>
          <w:rtl w:val="0"/>
        </w:rPr>
        <w:t xml:space="preserve">.</w:t>
      </w:r>
    </w:p>
    <w:p w:rsidR="00000000" w:rsidDel="00000000" w:rsidP="00000000" w:rsidRDefault="00000000" w:rsidRPr="00000000" w14:paraId="00000083">
      <w:pPr>
        <w:pStyle w:val="Heading3"/>
        <w:spacing w:after="80" w:line="408" w:lineRule="auto"/>
        <w:rPr>
          <w:b w:val="1"/>
          <w:bCs w:val="1"/>
        </w:rPr>
      </w:pPr>
      <w:bookmarkStart w:colFirst="0" w:colLast="0" w:name="_kvpdscwyx25c" w:id="37"/>
      <w:bookmarkEnd w:id="37"/>
      <w:r w:rsidDel="00000000" w:rsidR="00000000" w:rsidRPr="00000000">
        <w:rPr>
          <w:b w:val="1"/>
          <w:bCs w:val="1"/>
          <w:rtl w:val="0"/>
        </w:rPr>
        <w:t xml:space="preserve">3. Antigua and Barbuda</w:t>
      </w:r>
    </w:p>
    <w:p w:rsidR="00000000" w:rsidDel="00000000" w:rsidP="00000000" w:rsidRDefault="00000000" w:rsidRPr="00000000" w14:paraId="00000084">
      <w:pPr>
        <w:numPr>
          <w:ilvl w:val="0"/>
          <w:numId w:val="1"/>
        </w:numPr>
        <w:spacing w:after="0" w:afterAutospacing="0" w:before="240" w:lineRule="auto"/>
        <w:ind w:left="720" w:hanging="360"/>
        <w:jc w:val="left"/>
      </w:pPr>
      <w:r w:rsidDel="00000000" w:rsidR="00000000" w:rsidRPr="00000000">
        <w:rPr>
          <w:b w:val="1"/>
          <w:bCs w:val="1"/>
          <w:rtl w:val="0"/>
        </w:rPr>
        <w:t xml:space="preserve">Legal Framework</w:t>
      </w:r>
      <w:r w:rsidDel="00000000" w:rsidR="00000000" w:rsidRPr="00000000">
        <w:rPr>
          <w:rtl w:val="0"/>
        </w:rPr>
        <w:t xml:space="preserve">: </w:t>
      </w:r>
      <w:r w:rsidDel="00000000" w:rsidR="00000000" w:rsidRPr="00000000">
        <w:rPr>
          <w:b w:val="1"/>
          <w:bCs w:val="1"/>
          <w:rtl w:val="0"/>
        </w:rPr>
        <w:t xml:space="preserve">Personal Property Security Act</w:t>
      </w:r>
      <w:r w:rsidDel="00000000" w:rsidR="00000000" w:rsidRPr="00000000">
        <w:rPr>
          <w:rtl w:val="0"/>
        </w:rPr>
        <w:t xml:space="preserve"> (2014).</w:t>
      </w:r>
    </w:p>
    <w:p w:rsidR="00000000" w:rsidDel="00000000" w:rsidP="00000000" w:rsidRDefault="00000000" w:rsidRPr="00000000" w14:paraId="00000085">
      <w:pPr>
        <w:numPr>
          <w:ilvl w:val="0"/>
          <w:numId w:val="1"/>
        </w:numPr>
        <w:spacing w:after="0" w:afterAutospacing="0" w:before="0" w:beforeAutospacing="0" w:lineRule="auto"/>
        <w:ind w:left="720" w:hanging="360"/>
        <w:jc w:val="left"/>
      </w:pPr>
      <w:r w:rsidDel="00000000" w:rsidR="00000000" w:rsidRPr="00000000">
        <w:rPr>
          <w:rtl w:val="0"/>
        </w:rPr>
        <w:t xml:space="preserve">Modeled after the Canadian PPSA, it allows for the registration of security interests in a broad range of personal property, including chattel paper.</w:t>
      </w:r>
    </w:p>
    <w:p w:rsidR="00000000" w:rsidDel="00000000" w:rsidP="00000000" w:rsidRDefault="00000000" w:rsidRPr="00000000" w14:paraId="00000086">
      <w:pPr>
        <w:numPr>
          <w:ilvl w:val="0"/>
          <w:numId w:val="1"/>
        </w:numPr>
        <w:spacing w:after="240" w:before="0" w:beforeAutospacing="0" w:lineRule="auto"/>
        <w:ind w:left="720" w:hanging="360"/>
        <w:jc w:val="left"/>
      </w:pPr>
      <w:r w:rsidDel="00000000" w:rsidR="00000000" w:rsidRPr="00000000">
        <w:rPr>
          <w:rtl w:val="0"/>
        </w:rPr>
        <w:t xml:space="preserve">A public electronic registry is available for filing and searching.</w:t>
      </w:r>
    </w:p>
    <w:p w:rsidR="00000000" w:rsidDel="00000000" w:rsidP="00000000" w:rsidRDefault="00000000" w:rsidRPr="00000000" w14:paraId="00000087">
      <w:pPr>
        <w:pStyle w:val="Heading3"/>
        <w:spacing w:after="80" w:line="408" w:lineRule="auto"/>
        <w:rPr>
          <w:b w:val="1"/>
          <w:bCs w:val="1"/>
        </w:rPr>
      </w:pPr>
      <w:bookmarkStart w:colFirst="0" w:colLast="0" w:name="_m6245o74q5lc" w:id="38"/>
      <w:bookmarkEnd w:id="38"/>
      <w:r w:rsidDel="00000000" w:rsidR="00000000" w:rsidRPr="00000000">
        <w:rPr>
          <w:b w:val="1"/>
          <w:bCs w:val="1"/>
          <w:rtl w:val="0"/>
        </w:rPr>
        <w:t xml:space="preserve">4. St. Lucia</w:t>
      </w:r>
    </w:p>
    <w:p w:rsidR="00000000" w:rsidDel="00000000" w:rsidP="00000000" w:rsidRDefault="00000000" w:rsidRPr="00000000" w14:paraId="00000088">
      <w:pPr>
        <w:numPr>
          <w:ilvl w:val="0"/>
          <w:numId w:val="8"/>
        </w:numPr>
        <w:spacing w:after="0" w:afterAutospacing="0" w:before="240" w:lineRule="auto"/>
        <w:ind w:left="720" w:hanging="360"/>
        <w:jc w:val="left"/>
      </w:pPr>
      <w:r w:rsidDel="00000000" w:rsidR="00000000" w:rsidRPr="00000000">
        <w:rPr>
          <w:b w:val="1"/>
          <w:bCs w:val="1"/>
          <w:rtl w:val="0"/>
        </w:rPr>
        <w:t xml:space="preserve">Legal Framework</w:t>
      </w:r>
      <w:r w:rsidDel="00000000" w:rsidR="00000000" w:rsidRPr="00000000">
        <w:rPr>
          <w:rtl w:val="0"/>
        </w:rPr>
        <w:t xml:space="preserve">: </w:t>
      </w:r>
      <w:r w:rsidDel="00000000" w:rsidR="00000000" w:rsidRPr="00000000">
        <w:rPr>
          <w:b w:val="1"/>
          <w:bCs w:val="1"/>
          <w:rtl w:val="0"/>
        </w:rPr>
        <w:t xml:space="preserve">Personal Property Security Act</w:t>
      </w:r>
      <w:r w:rsidDel="00000000" w:rsidR="00000000" w:rsidRPr="00000000">
        <w:rPr>
          <w:rtl w:val="0"/>
        </w:rPr>
        <w:t xml:space="preserve"> (2016).</w:t>
      </w:r>
    </w:p>
    <w:p w:rsidR="00000000" w:rsidDel="00000000" w:rsidP="00000000" w:rsidRDefault="00000000" w:rsidRPr="00000000" w14:paraId="00000089">
      <w:pPr>
        <w:numPr>
          <w:ilvl w:val="0"/>
          <w:numId w:val="8"/>
        </w:numPr>
        <w:spacing w:after="0" w:afterAutospacing="0" w:before="0" w:beforeAutospacing="0" w:lineRule="auto"/>
        <w:ind w:left="720" w:hanging="360"/>
        <w:jc w:val="left"/>
      </w:pPr>
      <w:r w:rsidDel="00000000" w:rsidR="00000000" w:rsidRPr="00000000">
        <w:rPr>
          <w:rtl w:val="0"/>
        </w:rPr>
        <w:t xml:space="preserve">Security interests can be registered against chattel paper and other movable property.</w:t>
      </w:r>
    </w:p>
    <w:p w:rsidR="00000000" w:rsidDel="00000000" w:rsidP="00000000" w:rsidRDefault="00000000" w:rsidRPr="00000000" w14:paraId="0000008A">
      <w:pPr>
        <w:numPr>
          <w:ilvl w:val="0"/>
          <w:numId w:val="8"/>
        </w:numPr>
        <w:spacing w:after="240" w:before="0" w:beforeAutospacing="0" w:lineRule="auto"/>
        <w:ind w:left="720" w:hanging="360"/>
        <w:jc w:val="left"/>
      </w:pPr>
      <w:r w:rsidDel="00000000" w:rsidR="00000000" w:rsidRPr="00000000">
        <w:rPr>
          <w:rtl w:val="0"/>
        </w:rPr>
        <w:t xml:space="preserve">The Act also establishes a public electronic registry.</w:t>
      </w:r>
    </w:p>
    <w:p w:rsidR="00000000" w:rsidDel="00000000" w:rsidP="00000000" w:rsidRDefault="00000000" w:rsidRPr="00000000" w14:paraId="0000008B">
      <w:pPr>
        <w:pStyle w:val="Heading3"/>
        <w:spacing w:after="80" w:line="408" w:lineRule="auto"/>
        <w:rPr>
          <w:b w:val="1"/>
          <w:bCs w:val="1"/>
        </w:rPr>
      </w:pPr>
      <w:bookmarkStart w:colFirst="0" w:colLast="0" w:name="_vniyy5n3rpbe" w:id="39"/>
      <w:bookmarkEnd w:id="39"/>
      <w:r w:rsidDel="00000000" w:rsidR="00000000" w:rsidRPr="00000000">
        <w:rPr>
          <w:b w:val="1"/>
          <w:bCs w:val="1"/>
          <w:rtl w:val="0"/>
        </w:rPr>
        <w:t xml:space="preserve">5. Trinidad and Tobago</w:t>
      </w:r>
    </w:p>
    <w:p w:rsidR="00000000" w:rsidDel="00000000" w:rsidP="00000000" w:rsidRDefault="00000000" w:rsidRPr="00000000" w14:paraId="0000008C">
      <w:pPr>
        <w:numPr>
          <w:ilvl w:val="0"/>
          <w:numId w:val="4"/>
        </w:numPr>
        <w:spacing w:after="0" w:afterAutospacing="0" w:before="240" w:lineRule="auto"/>
        <w:ind w:left="720" w:hanging="360"/>
        <w:jc w:val="left"/>
      </w:pPr>
      <w:r w:rsidDel="00000000" w:rsidR="00000000" w:rsidRPr="00000000">
        <w:rPr>
          <w:b w:val="1"/>
          <w:bCs w:val="1"/>
          <w:rtl w:val="0"/>
        </w:rPr>
        <w:t xml:space="preserve">Legal Framework</w:t>
      </w:r>
      <w:r w:rsidDel="00000000" w:rsidR="00000000" w:rsidRPr="00000000">
        <w:rPr>
          <w:rtl w:val="0"/>
        </w:rPr>
        <w:t xml:space="preserve">: </w:t>
      </w:r>
      <w:r w:rsidDel="00000000" w:rsidR="00000000" w:rsidRPr="00000000">
        <w:rPr>
          <w:b w:val="1"/>
          <w:bCs w:val="1"/>
          <w:rtl w:val="0"/>
        </w:rPr>
        <w:t xml:space="preserve">Companies Act</w:t>
      </w:r>
      <w:r w:rsidDel="00000000" w:rsidR="00000000" w:rsidRPr="00000000">
        <w:rPr>
          <w:rtl w:val="0"/>
        </w:rPr>
        <w:t xml:space="preserve"> and secured transactions legislation.</w:t>
      </w:r>
    </w:p>
    <w:p w:rsidR="00000000" w:rsidDel="00000000" w:rsidP="00000000" w:rsidRDefault="00000000" w:rsidRPr="00000000" w14:paraId="0000008D">
      <w:pPr>
        <w:numPr>
          <w:ilvl w:val="0"/>
          <w:numId w:val="4"/>
        </w:numPr>
        <w:spacing w:after="240" w:before="0" w:beforeAutospacing="0" w:lineRule="auto"/>
        <w:ind w:left="720" w:hanging="360"/>
        <w:jc w:val="left"/>
      </w:pPr>
      <w:r w:rsidDel="00000000" w:rsidR="00000000" w:rsidRPr="00000000">
        <w:rPr>
          <w:rtl w:val="0"/>
        </w:rPr>
        <w:t xml:space="preserve">While not as comprehensive as PPSA-style frameworks, chattel paper can be registered as collateral, primarily through filings under company-specific registries.</w:t>
      </w:r>
    </w:p>
    <w:p w:rsidR="00000000" w:rsidDel="00000000" w:rsidP="00000000" w:rsidRDefault="00000000" w:rsidRPr="00000000" w14:paraId="0000008E">
      <w:pPr>
        <w:pStyle w:val="Heading3"/>
        <w:spacing w:after="80" w:line="408" w:lineRule="auto"/>
        <w:rPr>
          <w:b w:val="1"/>
          <w:bCs w:val="1"/>
        </w:rPr>
      </w:pPr>
      <w:bookmarkStart w:colFirst="0" w:colLast="0" w:name="_k8fmsp3bnbpg" w:id="40"/>
      <w:bookmarkEnd w:id="40"/>
      <w:r w:rsidDel="00000000" w:rsidR="00000000" w:rsidRPr="00000000">
        <w:rPr>
          <w:b w:val="1"/>
          <w:bCs w:val="1"/>
          <w:rtl w:val="0"/>
        </w:rPr>
        <w:t xml:space="preserve">6. Dominica, Grenada, and St. Kitts and Nevis</w:t>
      </w:r>
    </w:p>
    <w:p w:rsidR="00000000" w:rsidDel="00000000" w:rsidP="00000000" w:rsidRDefault="00000000" w:rsidRPr="00000000" w14:paraId="0000008F">
      <w:pPr>
        <w:numPr>
          <w:ilvl w:val="0"/>
          <w:numId w:val="5"/>
        </w:numPr>
        <w:spacing w:after="240" w:before="240" w:lineRule="auto"/>
        <w:ind w:left="720" w:hanging="360"/>
        <w:jc w:val="left"/>
      </w:pPr>
      <w:r w:rsidDel="00000000" w:rsidR="00000000" w:rsidRPr="00000000">
        <w:rPr>
          <w:rtl w:val="0"/>
        </w:rPr>
        <w:t xml:space="preserve">These countries have adopted PPSA-style legislation as part of efforts to modernize secured transactions frameworks within the Eastern Caribbean.</w:t>
      </w:r>
    </w:p>
    <w:p w:rsidR="00000000" w:rsidDel="00000000" w:rsidP="00000000" w:rsidRDefault="00000000" w:rsidRPr="00000000" w14:paraId="00000090">
      <w:pPr>
        <w:pStyle w:val="Heading3"/>
        <w:spacing w:after="80" w:line="408" w:lineRule="auto"/>
        <w:rPr>
          <w:b w:val="1"/>
          <w:bCs w:val="1"/>
        </w:rPr>
      </w:pPr>
      <w:bookmarkStart w:colFirst="0" w:colLast="0" w:name="_wbbzysljl6ts" w:id="41"/>
      <w:bookmarkEnd w:id="41"/>
      <w:r w:rsidDel="00000000" w:rsidR="00000000" w:rsidRPr="00000000">
        <w:rPr>
          <w:b w:val="1"/>
          <w:bCs w:val="1"/>
          <w:rtl w:val="0"/>
        </w:rPr>
        <w:t xml:space="preserve">Other Considerations</w:t>
      </w:r>
    </w:p>
    <w:p w:rsidR="00000000" w:rsidDel="00000000" w:rsidP="00000000" w:rsidRDefault="00000000" w:rsidRPr="00000000" w14:paraId="00000091">
      <w:pPr>
        <w:numPr>
          <w:ilvl w:val="0"/>
          <w:numId w:val="6"/>
        </w:numPr>
        <w:spacing w:after="0" w:afterAutospacing="0" w:before="240" w:lineRule="auto"/>
        <w:ind w:left="720" w:hanging="360"/>
        <w:jc w:val="left"/>
      </w:pPr>
      <w:r w:rsidDel="00000000" w:rsidR="00000000" w:rsidRPr="00000000">
        <w:rPr>
          <w:b w:val="1"/>
          <w:bCs w:val="1"/>
          <w:rtl w:val="0"/>
        </w:rPr>
        <w:t xml:space="preserve">Bahamas</w:t>
      </w:r>
      <w:r w:rsidDel="00000000" w:rsidR="00000000" w:rsidRPr="00000000">
        <w:rPr>
          <w:rtl w:val="0"/>
        </w:rPr>
        <w:t xml:space="preserve">: While the legal framework is more focused on fixed and floating charges, it may be possible to register interests in chattel paper under specific circumstances.</w:t>
      </w:r>
    </w:p>
    <w:p w:rsidR="00000000" w:rsidDel="00000000" w:rsidP="00000000" w:rsidRDefault="00000000" w:rsidRPr="00000000" w14:paraId="00000092">
      <w:pPr>
        <w:numPr>
          <w:ilvl w:val="0"/>
          <w:numId w:val="6"/>
        </w:numPr>
        <w:spacing w:after="240" w:before="0" w:beforeAutospacing="0" w:lineRule="auto"/>
        <w:ind w:left="720" w:hanging="360"/>
        <w:jc w:val="left"/>
      </w:pPr>
      <w:r w:rsidDel="00000000" w:rsidR="00000000" w:rsidRPr="00000000">
        <w:rPr>
          <w:b w:val="1"/>
          <w:bCs w:val="1"/>
          <w:rtl w:val="0"/>
        </w:rPr>
        <w:t xml:space="preserve">Cayman Islands &amp; British Virgin Islands</w:t>
      </w:r>
      <w:r w:rsidDel="00000000" w:rsidR="00000000" w:rsidRPr="00000000">
        <w:rPr>
          <w:rtl w:val="0"/>
        </w:rPr>
        <w:t xml:space="preserve">: Typically rely on corporate charges registered under company-specific laws. Chattel paper may not be explicitly addressed but can be included in broader security documentation.</w:t>
      </w:r>
    </w:p>
    <w:p w:rsidR="00000000" w:rsidDel="00000000" w:rsidP="00000000" w:rsidRDefault="00000000" w:rsidRPr="00000000" w14:paraId="00000093">
      <w:pPr>
        <w:spacing w:after="240" w:before="240" w:lineRule="auto"/>
        <w:rPr/>
      </w:pPr>
      <w:r w:rsidDel="00000000" w:rsidR="00000000" w:rsidRPr="00000000">
        <w:rPr>
          <w:rtl w:val="0"/>
        </w:rPr>
        <w:t xml:space="preserve">If you are considering a specific transaction, consulting local counsel or reviewing the jurisdiction’s registry rules is advisable to confirm compliance and ensure proper filing</w:t>
      </w:r>
    </w:p>
    <w:p w:rsidR="00000000" w:rsidDel="00000000" w:rsidP="00000000" w:rsidRDefault="00000000" w:rsidRPr="00000000" w14:paraId="00000094">
      <w:pPr>
        <w:rPr/>
      </w:pPr>
      <w:r w:rsidDel="00000000" w:rsidR="00000000" w:rsidRPr="00000000">
        <w:rPr>
          <w:rtl w:val="0"/>
        </w:rPr>
      </w:r>
    </w:p>
    <w:sectPr>
      <w:head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Trebuchet MS"/>
  <w:font w:name="Times New Roman"/>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200" w:line="312" w:lineRule="auto"/>
      <w:ind w:left="5760"/>
      <w:jc w:val="left"/>
      <w:rPr/>
    </w:pPr>
    <w:r w:rsidDel="00000000" w:rsidR="00000000" w:rsidRPr="00000000">
      <w:rPr>
        <w:rFonts w:ascii="Proxima Nova" w:cs="Proxima Nova" w:eastAsia="Proxima Nova" w:hAnsi="Proxima Nova"/>
        <w:color w:val="353744"/>
        <w:sz w:val="22"/>
        <w:szCs w:val="22"/>
      </w:rPr>
      <w:drawing>
        <wp:inline distB="114300" distT="114300" distL="114300" distR="114300">
          <wp:extent cx="1804988" cy="18049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color w:val="212121"/>
        <w:sz w:val="18"/>
        <w:szCs w:val="18"/>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212121"/>
        <w:sz w:val="18"/>
        <w:szCs w:val="18"/>
        <w:lang w:val="en"/>
      </w:rPr>
    </w:rPrDefault>
    <w:pPrDefault>
      <w:pPr>
        <w:pBdr>
          <w:top w:color="auto" w:space="0" w:sz="0" w:val="none"/>
          <w:left w:color="auto" w:space="0" w:sz="0" w:val="none"/>
          <w:bottom w:color="auto" w:space="0" w:sz="0" w:val="none"/>
          <w:right w:color="auto" w:space="0" w:sz="0" w:val="none"/>
          <w:between w:color="auto" w:space="0" w:sz="0" w:val="none"/>
        </w:pBdr>
        <w:spacing w:after="280" w:before="280" w:line="40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4"/>
      <w:szCs w:val="24"/>
    </w:rPr>
  </w:style>
  <w:style w:type="paragraph" w:styleId="Heading3">
    <w:name w:val="heading 3"/>
    <w:basedOn w:val="Normal"/>
    <w:next w:val="Normal"/>
    <w:pPr>
      <w:spacing w:before="460" w:line="240" w:lineRule="auto"/>
    </w:pPr>
    <w:rPr>
      <w:b w:val="1"/>
      <w:bCs w:val="1"/>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after="60" w:before="0" w:line="276" w:lineRule="auto"/>
    </w:pPr>
    <w:rPr>
      <w:rFonts w:ascii="Montserrat SemiBold" w:cs="Montserrat SemiBold" w:eastAsia="Montserrat SemiBold" w:hAnsi="Montserrat SemiBold"/>
      <w:color w:val="1e4063"/>
      <w:sz w:val="40"/>
      <w:szCs w:val="40"/>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22"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21"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24"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23"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26"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25"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28"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27"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5" Type="http://schemas.openxmlformats.org/officeDocument/2006/relationships/styles" Target="styles.xml"/><Relationship Id="rId6" Type="http://schemas.openxmlformats.org/officeDocument/2006/relationships/hyperlink" Target="mailto:office@levinelegal.ca" TargetMode="External"/><Relationship Id="rId29"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7"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8"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1"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0"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1"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3"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0"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2"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3"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5"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2"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4"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5"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7"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4"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6"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7"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9"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6"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38"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9"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 Id="rId18" Type="http://schemas.openxmlformats.org/officeDocument/2006/relationships/hyperlink" Target="https://advance.lexis.com/document/lpadocument/?pdmfid=1518425&amp;crid=3acca7b3-6cc2-421a-8f6b-eea7b3ea7b1d&amp;pddocfullpath=%2Fshared%2Fdocument%2Fanalytical-materials-lpa-ca%2Furn%3AcontentItem%3A61BF-3K91-F2TK-235D-00000-00&amp;pdcontentcomponentid=402959&amp;pdteaserkey=sr0&amp;pditab=allpods&amp;ecomp=L75g&amp;earg=sr0&amp;prid=80bb9a94-74d6-48f9-8b3b-1d7134d4721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