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keepNext w:val="1"/>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rFonts w:ascii="Verdana" w:cs="Verdana" w:eastAsia="Verdana" w:hAnsi="Verdana"/>
          <w:color w:val="212121"/>
          <w:sz w:val="18"/>
          <w:szCs w:val="18"/>
        </w:rPr>
      </w:pPr>
      <w:bookmarkStart w:colFirst="0" w:colLast="0" w:name="_x1qg1c30zmid" w:id="1"/>
      <w:bookmarkEnd w:id="1"/>
      <w:r w:rsidDel="00000000" w:rsidR="00000000" w:rsidRPr="00000000">
        <w:rPr>
          <w:rtl w:val="0"/>
        </w:rPr>
        <w:t xml:space="preserve">Contract Law Practice - </w:t>
      </w:r>
      <w:r w:rsidDel="00000000" w:rsidR="00000000" w:rsidRPr="00000000">
        <w:rPr>
          <w:rtl w:val="0"/>
        </w:rPr>
        <w:t xml:space="preserve">Covenants - Financial Covenants</w:t>
      </w:r>
      <w:r w:rsidDel="00000000" w:rsidR="00000000" w:rsidRPr="00000000">
        <w:rPr>
          <w:rtl w:val="0"/>
        </w:rPr>
      </w:r>
    </w:p>
    <w:p w:rsidR="00000000" w:rsidDel="00000000" w:rsidP="00000000" w:rsidRDefault="00000000" w:rsidRPr="00000000" w14:paraId="00000009">
      <w:pPr>
        <w:pStyle w:val="Heading2"/>
        <w:spacing w:line="408" w:lineRule="auto"/>
        <w:rPr/>
      </w:pPr>
      <w:bookmarkStart w:colFirst="0" w:colLast="0" w:name="_vzl7439u06uc" w:id="2"/>
      <w:bookmarkEnd w:id="2"/>
      <w:r w:rsidDel="00000000" w:rsidR="00000000" w:rsidRPr="00000000">
        <w:rPr>
          <w:rtl w:val="0"/>
        </w:rPr>
        <w:t xml:space="preserve">Covenants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covenant is a promise made by one party to another party to </w:t>
      </w:r>
    </w:p>
    <w:p w:rsidR="00000000" w:rsidDel="00000000" w:rsidP="00000000" w:rsidRDefault="00000000" w:rsidRPr="00000000" w14:paraId="0000000B">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80" w:line="408" w:lineRule="auto"/>
        <w:ind w:left="720" w:hanging="360"/>
        <w:jc w:val="both"/>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take, or </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pacing w:after="280" w:before="0" w:beforeAutospacing="0" w:line="408" w:lineRule="auto"/>
        <w:ind w:left="720" w:hanging="360"/>
        <w:jc w:val="both"/>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refrain from taking</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certain action(s), sometimes for only a designated period of time. </w:t>
      </w:r>
    </w:p>
    <w:p w:rsidR="00000000" w:rsidDel="00000000" w:rsidP="00000000" w:rsidRDefault="00000000" w:rsidRPr="00000000" w14:paraId="0000000E">
      <w:pPr>
        <w:rPr/>
      </w:pPr>
      <w:r w:rsidDel="00000000" w:rsidR="00000000" w:rsidRPr="00000000">
        <w:rPr>
          <w:rtl w:val="0"/>
        </w:rPr>
        <w:t xml:space="preserve">If a contractual covenant is not met, the agreement will have been breached and the non-breaching party may be entitled to damages. </w:t>
      </w:r>
    </w:p>
    <w:p w:rsidR="00000000" w:rsidDel="00000000" w:rsidP="00000000" w:rsidRDefault="00000000" w:rsidRPr="00000000" w14:paraId="0000000F">
      <w:pPr>
        <w:rPr/>
      </w:pPr>
      <w:r w:rsidDel="00000000" w:rsidR="00000000" w:rsidRPr="00000000">
        <w:rPr>
          <w:rtl w:val="0"/>
        </w:rPr>
        <w:t xml:space="preserve">In contrast to representations, covenants will remain in force throughout the life of the transactions.</w:t>
      </w:r>
    </w:p>
    <w:p w:rsidR="00000000" w:rsidDel="00000000" w:rsidP="00000000" w:rsidRDefault="00000000" w:rsidRPr="00000000" w14:paraId="00000010">
      <w:pPr>
        <w:pStyle w:val="Heading2"/>
        <w:spacing w:line="408" w:lineRule="auto"/>
        <w:rPr/>
      </w:pPr>
      <w:bookmarkStart w:colFirst="0" w:colLast="0" w:name="_19as0iisqkfz" w:id="3"/>
      <w:bookmarkEnd w:id="3"/>
      <w:r w:rsidDel="00000000" w:rsidR="00000000" w:rsidRPr="00000000">
        <w:rPr>
          <w:rtl w:val="0"/>
        </w:rPr>
        <w:t xml:space="preserve">Covenants &amp; Rights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party making the covenant is sometimes referred to as the obligor and the recipient as the obligee. Covenants and rights work together to delineate the parties' respective obligations and entitlements, which is at the crux of any transaction.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right is the benefit that the obligee of a covenant will receive when the obligor performs its duty. For example, if the covenant is the promise to wash someone's car, the obligee's right is to receive a carwash. Covenants and rights are the direct inverse of one another, working together to set forth the respective obligations and entitlements of the parties. Covenants and rights set forth the basic transaction between the contracting parties;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what each party is providing to, and receiving from, the other.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every covenant there is a correlative right (whether expressly stated or not), and vice-versa. Most practitioners do not see the value in stating both the covenant and the right for a particular subject matter in an agreement as one clearly implicates the other.</w:t>
      </w:r>
      <w:r w:rsidDel="00000000" w:rsidR="00000000" w:rsidRPr="00000000">
        <w:rPr>
          <w:rtl w:val="0"/>
        </w:rPr>
        <w:t xml:space="preserve"> </w:t>
      </w:r>
      <w:r w:rsidDel="00000000" w:rsidR="00000000" w:rsidRPr="00000000">
        <w:rPr>
          <w:rFonts w:ascii="Verdana" w:cs="Verdana" w:eastAsia="Verdana" w:hAnsi="Verdana"/>
          <w:color w:val="212121"/>
          <w:sz w:val="18"/>
          <w:szCs w:val="18"/>
          <w:rtl w:val="0"/>
        </w:rPr>
        <w:t xml:space="preserve">Best practices require written inclusion of all covenants (as opposed to rights) in agreements, as covenants (unlike rights) require a clear, and sometimes detailed, description of the requisite behaviour required by the covenant. Therefore, spelling out all such obligations in writing serves to provide clarity in connection with the parties' obligations.</w:t>
      </w:r>
    </w:p>
    <w:p w:rsidR="00000000" w:rsidDel="00000000" w:rsidP="00000000" w:rsidRDefault="00000000" w:rsidRPr="00000000" w14:paraId="00000014">
      <w:pPr>
        <w:pStyle w:val="Heading2"/>
        <w:spacing w:line="408" w:lineRule="auto"/>
        <w:rPr/>
      </w:pPr>
      <w:bookmarkStart w:colFirst="0" w:colLast="0" w:name="_153gkd86esxk" w:id="4"/>
      <w:bookmarkEnd w:id="4"/>
      <w:r w:rsidDel="00000000" w:rsidR="00000000" w:rsidRPr="00000000">
        <w:rPr>
          <w:rtl w:val="0"/>
        </w:rPr>
        <w:t xml:space="preserve">Commercial Covenants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most common covenants and rights incorporated in commercial contracts include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confidentiality provisions;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indemnification provisions;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ongoing representations and warranties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those respecting future acts);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insurance provisions;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(5) sale, delivery, purchase price, and related obligations;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(6) non-compete and non-solicitation provisions; and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pPr>
      <w:r w:rsidDel="00000000" w:rsidR="00000000" w:rsidRPr="00000000">
        <w:rPr>
          <w:rFonts w:ascii="Verdana" w:cs="Verdana" w:eastAsia="Verdana" w:hAnsi="Verdana"/>
          <w:color w:val="212121"/>
          <w:sz w:val="18"/>
          <w:szCs w:val="18"/>
          <w:rtl w:val="0"/>
        </w:rPr>
        <w:t xml:space="preserve">(7) suspension and termination provisions.</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pPr>
      <w:r w:rsidDel="00000000" w:rsidR="00000000" w:rsidRPr="00000000">
        <w:rPr>
          <w:rtl w:val="0"/>
        </w:rPr>
      </w:r>
    </w:p>
    <w:p w:rsidR="00000000" w:rsidDel="00000000" w:rsidP="00000000" w:rsidRDefault="00000000" w:rsidRPr="00000000" w14:paraId="0000001E">
      <w:pPr>
        <w:pStyle w:val="Heading2"/>
        <w:spacing w:line="408" w:lineRule="auto"/>
        <w:rPr/>
      </w:pPr>
      <w:bookmarkStart w:colFirst="0" w:colLast="0" w:name="_51vfpdlr1u7h" w:id="5"/>
      <w:bookmarkEnd w:id="5"/>
      <w:r w:rsidDel="00000000" w:rsidR="00000000" w:rsidRPr="00000000">
        <w:rPr>
          <w:rtl w:val="0"/>
        </w:rPr>
        <w:t xml:space="preserve">Financial Covenants</w:t>
      </w:r>
    </w:p>
    <w:p w:rsidR="00000000" w:rsidDel="00000000" w:rsidP="00000000" w:rsidRDefault="00000000" w:rsidRPr="00000000" w14:paraId="0000001F">
      <w:pPr>
        <w:rPr/>
      </w:pPr>
      <w:r w:rsidDel="00000000" w:rsidR="00000000" w:rsidRPr="00000000">
        <w:rPr>
          <w:rtl w:val="0"/>
        </w:rPr>
        <w:t xml:space="preserve">This note describes the use of financial covenants in credit agreements, which require the borrower to comply with negotiated financial performance benchmarks. Financial covenants are an important indicator of the financial well-being of a borrower and are monitored throughout the life of the credit facility to provide lenders with comfort that the borrower will be able to repay their loans as planned (these generally take the form of maintenance tests). The borrower's continued compliance with financial covenants is also often used as a condition for the borrower taking certain actions, such as incurring certain additional indebtedness or to making certain investments (referred to as incurrence tests). The compliance levels of financial covenants are set to serve as a stress test, representing the lenders' judgment of what would constitute a predictor of risk that the loans will not be repaid.</w:t>
      </w:r>
    </w:p>
    <w:p w:rsidR="00000000" w:rsidDel="00000000" w:rsidP="00000000" w:rsidRDefault="00000000" w:rsidRPr="00000000" w14:paraId="00000020">
      <w:pPr>
        <w:pStyle w:val="Heading3"/>
        <w:rPr/>
      </w:pPr>
      <w:bookmarkStart w:colFirst="0" w:colLast="0" w:name="_9sxg1zoyr9z0" w:id="6"/>
      <w:bookmarkEnd w:id="6"/>
      <w:r w:rsidDel="00000000" w:rsidR="00000000" w:rsidRPr="00000000">
        <w:rPr>
          <w:rtl w:val="0"/>
        </w:rPr>
        <w:t xml:space="preserve">What Are Financial Covenants?</w:t>
      </w:r>
    </w:p>
    <w:p w:rsidR="00000000" w:rsidDel="00000000" w:rsidP="00000000" w:rsidRDefault="00000000" w:rsidRPr="00000000" w14:paraId="00000021">
      <w:pPr>
        <w:rPr/>
      </w:pPr>
      <w:r w:rsidDel="00000000" w:rsidR="00000000" w:rsidRPr="00000000">
        <w:rPr>
          <w:rtl w:val="0"/>
        </w:rPr>
        <w:t xml:space="preserve">Financial covenants are promises </w:t>
      </w:r>
    </w:p>
    <w:p w:rsidR="00000000" w:rsidDel="00000000" w:rsidP="00000000" w:rsidRDefault="00000000" w:rsidRPr="00000000" w14:paraId="00000022">
      <w:pPr>
        <w:numPr>
          <w:ilvl w:val="0"/>
          <w:numId w:val="3"/>
        </w:numPr>
        <w:spacing w:after="0" w:afterAutospacing="0"/>
        <w:ind w:left="720" w:hanging="360"/>
      </w:pPr>
      <w:r w:rsidDel="00000000" w:rsidR="00000000" w:rsidRPr="00000000">
        <w:rPr>
          <w:rtl w:val="0"/>
        </w:rPr>
        <w:t xml:space="preserve">given by the borrower and sometimes other obligors (e.g., guarantors or security providers (if any) </w:t>
      </w:r>
    </w:p>
    <w:p w:rsidR="00000000" w:rsidDel="00000000" w:rsidP="00000000" w:rsidRDefault="00000000" w:rsidRPr="00000000" w14:paraId="00000023">
      <w:pPr>
        <w:numPr>
          <w:ilvl w:val="0"/>
          <w:numId w:val="3"/>
        </w:numPr>
        <w:spacing w:before="0" w:beforeAutospacing="0"/>
        <w:ind w:left="720" w:hanging="360"/>
      </w:pPr>
      <w:r w:rsidDel="00000000" w:rsidR="00000000" w:rsidRPr="00000000">
        <w:rPr>
          <w:rtl w:val="0"/>
        </w:rPr>
        <w:t xml:space="preserve">to the lender and sometimes other obligees  (e.g., finance parties in a syndicated facility) </w:t>
      </w:r>
    </w:p>
    <w:p w:rsidR="00000000" w:rsidDel="00000000" w:rsidP="00000000" w:rsidRDefault="00000000" w:rsidRPr="00000000" w14:paraId="00000024">
      <w:pPr>
        <w:rPr/>
      </w:pPr>
      <w:r w:rsidDel="00000000" w:rsidR="00000000" w:rsidRPr="00000000">
        <w:rPr>
          <w:rtl w:val="0"/>
        </w:rPr>
        <w:t xml:space="preserve">to perform or not perform certain actions.  </w:t>
      </w:r>
    </w:p>
    <w:p w:rsidR="00000000" w:rsidDel="00000000" w:rsidP="00000000" w:rsidRDefault="00000000" w:rsidRPr="00000000" w14:paraId="00000025">
      <w:pPr>
        <w:rPr/>
      </w:pPr>
      <w:r w:rsidDel="00000000" w:rsidR="00000000" w:rsidRPr="00000000">
        <w:rPr>
          <w:rtl w:val="0"/>
        </w:rPr>
        <w:t xml:space="preserve">Financial covenants are a specific type of covenant. They are promises to meet or comply with certain financial thresholds.</w:t>
      </w:r>
    </w:p>
    <w:p w:rsidR="00000000" w:rsidDel="00000000" w:rsidP="00000000" w:rsidRDefault="00000000" w:rsidRPr="00000000" w14:paraId="00000026">
      <w:pPr>
        <w:rPr/>
      </w:pPr>
      <w:r w:rsidDel="00000000" w:rsidR="00000000" w:rsidRPr="00000000">
        <w:rPr>
          <w:rtl w:val="0"/>
        </w:rPr>
        <w:t xml:space="preserve">Financial covenants are an important indicator of the financial well-being of a borrower and are monitored throughout the life of the loan to provide lenders with comfort that the borrower will be able to repay their loans as planned. The borrower's continued compliance with financial covenants is often used as a condition for the borrower taking certain actions, such as incurring certain additional indebtedness or making certain investments.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line="408" w:lineRule="auto"/>
        <w:rPr/>
      </w:pPr>
      <w:bookmarkStart w:colFirst="0" w:colLast="0" w:name="_b0ph2gk5ymt4" w:id="7"/>
      <w:bookmarkEnd w:id="7"/>
      <w:r w:rsidDel="00000000" w:rsidR="00000000" w:rsidRPr="00000000">
        <w:rPr>
          <w:rtl w:val="0"/>
        </w:rPr>
        <w:t xml:space="preserve">Financial Covenants  - major buckets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4luvmwiunkyq" w:id="8"/>
      <w:bookmarkEnd w:id="8"/>
      <w:r w:rsidDel="00000000" w:rsidR="00000000" w:rsidRPr="00000000">
        <w:rPr>
          <w:rtl w:val="0"/>
        </w:rPr>
        <w:t xml:space="preserve">Maintenance vs. Incurrence Tests</w:t>
      </w:r>
    </w:p>
    <w:p w:rsidR="00000000" w:rsidDel="00000000" w:rsidP="00000000" w:rsidRDefault="00000000" w:rsidRPr="00000000" w14:paraId="0000002C">
      <w:pPr>
        <w:rPr/>
      </w:pPr>
      <w:r w:rsidDel="00000000" w:rsidR="00000000" w:rsidRPr="00000000">
        <w:rPr>
          <w:rtl w:val="0"/>
        </w:rPr>
        <w:t xml:space="preserve">The negative </w:t>
      </w:r>
      <w:r w:rsidDel="00000000" w:rsidR="00000000" w:rsidRPr="00000000">
        <w:rPr>
          <w:rtl w:val="0"/>
        </w:rPr>
        <w:t xml:space="preserve">covenants</w:t>
      </w:r>
      <w:r w:rsidDel="00000000" w:rsidR="00000000" w:rsidRPr="00000000">
        <w:rPr>
          <w:rtl w:val="0"/>
        </w:rPr>
        <w:t xml:space="preserve"> in a typical loan agreement are structured as "maintenance" </w:t>
      </w:r>
      <w:r w:rsidDel="00000000" w:rsidR="00000000" w:rsidRPr="00000000">
        <w:rPr>
          <w:rtl w:val="0"/>
        </w:rPr>
        <w:t xml:space="preserve">covenants</w:t>
      </w:r>
      <w:r w:rsidDel="00000000" w:rsidR="00000000" w:rsidRPr="00000000">
        <w:rPr>
          <w:rtl w:val="0"/>
        </w:rPr>
        <w:t xml:space="preserve">. the defining feature of a maintenance </w:t>
      </w:r>
      <w:r w:rsidDel="00000000" w:rsidR="00000000" w:rsidRPr="00000000">
        <w:rPr>
          <w:rtl w:val="0"/>
        </w:rPr>
        <w:t xml:space="preserve">covenant</w:t>
      </w:r>
      <w:r w:rsidDel="00000000" w:rsidR="00000000" w:rsidRPr="00000000">
        <w:rPr>
          <w:rtl w:val="0"/>
        </w:rPr>
        <w:t xml:space="preserve"> is that it requires the borrower to maintain compliance with the </w:t>
      </w:r>
      <w:r w:rsidDel="00000000" w:rsidR="00000000" w:rsidRPr="00000000">
        <w:rPr>
          <w:rtl w:val="0"/>
        </w:rPr>
        <w:t xml:space="preserve">covenant</w:t>
      </w:r>
      <w:r w:rsidDel="00000000" w:rsidR="00000000" w:rsidRPr="00000000">
        <w:rPr>
          <w:rtl w:val="0"/>
        </w:rPr>
        <w:t xml:space="preserve"> at all times. As a result, even if the borrower was in compliance on the date it initially incurred specific indebtedness, it can be in default at a later date if circumstances change. The advantage for the lender is that it can monitor the borrower's ongoing ability to repay the loans and take corrective action long before the borrower defaults on repayment of the loans. </w:t>
      </w:r>
    </w:p>
    <w:p w:rsidR="00000000" w:rsidDel="00000000" w:rsidP="00000000" w:rsidRDefault="00000000" w:rsidRPr="00000000" w14:paraId="0000002D">
      <w:pPr>
        <w:rPr/>
      </w:pPr>
      <w:r w:rsidDel="00000000" w:rsidR="00000000" w:rsidRPr="00000000">
        <w:rPr>
          <w:rtl w:val="0"/>
        </w:rPr>
        <w:t xml:space="preserve">In contrast, negative covenants in high-yield bond indentures are structured as "incurrence" covenants. the defining feature of an incurrence </w:t>
      </w:r>
      <w:r w:rsidDel="00000000" w:rsidR="00000000" w:rsidRPr="00000000">
        <w:rPr>
          <w:rtl w:val="0"/>
        </w:rPr>
        <w:t xml:space="preserve">covenant</w:t>
      </w:r>
      <w:r w:rsidDel="00000000" w:rsidR="00000000" w:rsidRPr="00000000">
        <w:rPr>
          <w:rtl w:val="0"/>
        </w:rPr>
        <w:t xml:space="preserve"> is that its prohibitions only apply on a transaction-by-transaction basis. Thus, a proposed transaction would be prohibited unless, after giving effect to the transaction, the borrower would be in compliance with the specified </w:t>
      </w:r>
      <w:r w:rsidDel="00000000" w:rsidR="00000000" w:rsidRPr="00000000">
        <w:rPr>
          <w:rtl w:val="0"/>
        </w:rPr>
        <w:t xml:space="preserve">covenant</w:t>
      </w:r>
      <w:r w:rsidDel="00000000" w:rsidR="00000000" w:rsidRPr="00000000">
        <w:rPr>
          <w:rtl w:val="0"/>
        </w:rPr>
        <w:t xml:space="preserve">. For example, the incurrence version of an indebtedness negative </w:t>
      </w:r>
      <w:r w:rsidDel="00000000" w:rsidR="00000000" w:rsidRPr="00000000">
        <w:rPr>
          <w:rtl w:val="0"/>
        </w:rPr>
        <w:t xml:space="preserve">covenant</w:t>
      </w:r>
      <w:r w:rsidDel="00000000" w:rsidR="00000000" w:rsidRPr="00000000">
        <w:rPr>
          <w:rtl w:val="0"/>
        </w:rPr>
        <w:t xml:space="preserve"> would be that the borrower could incur an unlimited amount of indebtedness so long as it is in compliance with a certain financial ratio after giving effect to the incurrence of such indebtedness. Since the </w:t>
      </w:r>
      <w:r w:rsidDel="00000000" w:rsidR="00000000" w:rsidRPr="00000000">
        <w:rPr>
          <w:rtl w:val="0"/>
        </w:rPr>
        <w:t xml:space="preserve">covenant</w:t>
      </w:r>
      <w:r w:rsidDel="00000000" w:rsidR="00000000" w:rsidRPr="00000000">
        <w:rPr>
          <w:rtl w:val="0"/>
        </w:rPr>
        <w:t xml:space="preserve"> only applies on the date of incurrence of the indebtedness, any subsequent change of the relevant financial ratio would be irrelevant in determining whether the borrower is in default. </w:t>
      </w:r>
    </w:p>
    <w:p w:rsidR="00000000" w:rsidDel="00000000" w:rsidP="00000000" w:rsidRDefault="00000000" w:rsidRPr="00000000" w14:paraId="0000002E">
      <w:pPr>
        <w:rPr/>
      </w:pPr>
      <w:r w:rsidDel="00000000" w:rsidR="00000000" w:rsidRPr="00000000">
        <w:rPr>
          <w:rtl w:val="0"/>
        </w:rPr>
        <w:t xml:space="preserve">The key distinction between incurrence and maintenance </w:t>
      </w:r>
      <w:r w:rsidDel="00000000" w:rsidR="00000000" w:rsidRPr="00000000">
        <w:rPr>
          <w:rtl w:val="0"/>
        </w:rPr>
        <w:t xml:space="preserve">covenants</w:t>
      </w:r>
      <w:r w:rsidDel="00000000" w:rsidR="00000000" w:rsidRPr="00000000">
        <w:rPr>
          <w:rtl w:val="0"/>
        </w:rPr>
        <w:t xml:space="preserve"> emerged over time partly because of the different types of investors who traditionally invested in loans and high-yield bonds. </w:t>
      </w:r>
    </w:p>
    <w:p w:rsidR="00000000" w:rsidDel="00000000" w:rsidP="00000000" w:rsidRDefault="00000000" w:rsidRPr="00000000" w14:paraId="0000002F">
      <w:pPr>
        <w:rPr/>
      </w:pPr>
      <w:r w:rsidDel="00000000" w:rsidR="00000000" w:rsidRPr="00000000">
        <w:rPr>
          <w:rtl w:val="0"/>
        </w:rPr>
        <w:t xml:space="preserve">Corporate loans were traditionally marketed to a limited number of large commercial banks with a relationship to the borrower. Corporate loans, unlike high-yield bonds, are not "securities" and for operational reasons it is easier for lenders to amend </w:t>
      </w:r>
      <w:r w:rsidDel="00000000" w:rsidR="00000000" w:rsidRPr="00000000">
        <w:rPr>
          <w:rtl w:val="0"/>
        </w:rPr>
        <w:t xml:space="preserve">covenants</w:t>
      </w:r>
      <w:r w:rsidDel="00000000" w:rsidR="00000000" w:rsidRPr="00000000">
        <w:rPr>
          <w:rtl w:val="0"/>
        </w:rPr>
        <w:t xml:space="preserve"> or waive defaults than it is for bondholders. </w:t>
      </w:r>
    </w:p>
    <w:p w:rsidR="00000000" w:rsidDel="00000000" w:rsidP="00000000" w:rsidRDefault="00000000" w:rsidRPr="00000000" w14:paraId="00000030">
      <w:pPr>
        <w:rPr/>
      </w:pPr>
      <w:r w:rsidDel="00000000" w:rsidR="00000000" w:rsidRPr="00000000">
        <w:rPr>
          <w:rtl w:val="0"/>
        </w:rPr>
        <w:t xml:space="preserve">High-yield bonds were traditionally marketed on a wide basis to institutional investors and pooled investment vehicles.</w:t>
      </w:r>
    </w:p>
    <w:p w:rsidR="00000000" w:rsidDel="00000000" w:rsidP="00000000" w:rsidRDefault="00000000" w:rsidRPr="00000000" w14:paraId="00000031">
      <w:pPr>
        <w:pStyle w:val="Heading3"/>
        <w:spacing w:after="0" w:before="0" w:lineRule="auto"/>
        <w:rPr/>
      </w:pPr>
      <w:bookmarkStart w:colFirst="0" w:colLast="0" w:name="_4uhv6wqshr74" w:id="9"/>
      <w:bookmarkEnd w:id="9"/>
      <w:r w:rsidDel="00000000" w:rsidR="00000000" w:rsidRPr="00000000">
        <w:rPr>
          <w:rtl w:val="0"/>
        </w:rPr>
        <w:t xml:space="preserve">Grower and Builder Baskets</w:t>
      </w:r>
    </w:p>
    <w:p w:rsidR="00000000" w:rsidDel="00000000" w:rsidP="00000000" w:rsidRDefault="00000000" w:rsidRPr="00000000" w14:paraId="00000032">
      <w:pPr>
        <w:rPr/>
      </w:pPr>
      <w:r w:rsidDel="00000000" w:rsidR="00000000" w:rsidRPr="00000000">
        <w:rPr>
          <w:rtl w:val="0"/>
        </w:rPr>
        <w:t xml:space="preserve">Another standard differentiation among negative </w:t>
      </w:r>
      <w:r w:rsidDel="00000000" w:rsidR="00000000" w:rsidRPr="00000000">
        <w:rPr>
          <w:rtl w:val="0"/>
        </w:rPr>
        <w:t xml:space="preserve">covenants</w:t>
      </w:r>
      <w:r w:rsidDel="00000000" w:rsidR="00000000" w:rsidRPr="00000000">
        <w:rPr>
          <w:rtl w:val="0"/>
        </w:rPr>
        <w:t xml:space="preserve"> is the use of grower and builder baskets. These are used for baskets that are generally capped by a dollar amount (such as a basket allowing for general indebtedness). Rather than a flat amount, these baskets are variable: </w:t>
      </w:r>
    </w:p>
    <w:p w:rsidR="00000000" w:rsidDel="00000000" w:rsidP="00000000" w:rsidRDefault="00000000" w:rsidRPr="00000000" w14:paraId="00000033">
      <w:pPr>
        <w:numPr>
          <w:ilvl w:val="0"/>
          <w:numId w:val="6"/>
        </w:numPr>
        <w:spacing w:after="0" w:afterAutospacing="0"/>
        <w:ind w:left="720" w:hanging="360"/>
      </w:pPr>
      <w:r w:rsidDel="00000000" w:rsidR="00000000" w:rsidRPr="00000000">
        <w:rPr>
          <w:rtl w:val="0"/>
        </w:rPr>
        <w:t xml:space="preserve">• A grower basket may not exceed the greater of a fixed amount and a certain percentage of a financial metric (such as a percentage of consolidated EBITDA or total assets of the credit group). The idea is that the fixed amount and the metric are about the same at the beginning, but the metric (and therefore the basket) grows along with the borrower. </w:t>
      </w:r>
    </w:p>
    <w:p w:rsidR="00000000" w:rsidDel="00000000" w:rsidP="00000000" w:rsidRDefault="00000000" w:rsidRPr="00000000" w14:paraId="00000034">
      <w:pPr>
        <w:numPr>
          <w:ilvl w:val="0"/>
          <w:numId w:val="6"/>
        </w:numPr>
        <w:spacing w:before="0" w:beforeAutospacing="0" w:lineRule="auto"/>
        <w:ind w:left="720" w:hanging="360"/>
      </w:pPr>
      <w:r w:rsidDel="00000000" w:rsidR="00000000" w:rsidRPr="00000000">
        <w:rPr>
          <w:rtl w:val="0"/>
        </w:rPr>
        <w:t xml:space="preserve">• A builder basket increases the size of the basket with (1) excess cash flow not required to prepay the loans and (2) net cash proceeds from the issuance of certain types of equity of the borrower, less any amounts previously used to make other permitted investments or dividends (for example). </w:t>
      </w:r>
    </w:p>
    <w:p w:rsidR="00000000" w:rsidDel="00000000" w:rsidP="00000000" w:rsidRDefault="00000000" w:rsidRPr="00000000" w14:paraId="00000035">
      <w:pPr>
        <w:spacing w:before="460" w:lineRule="auto"/>
        <w:ind w:left="0" w:firstLine="0"/>
        <w:rPr/>
      </w:pPr>
      <w:r w:rsidDel="00000000" w:rsidR="00000000" w:rsidRPr="00000000">
        <w:rPr>
          <w:rtl w:val="0"/>
        </w:rPr>
        <w:t xml:space="preserve">You should be aware that sometimes usage of this amount (typically defined as the "available amount") is conditioned on satisfaction of an excess availability test and/or fixed charge coverage ratio test. </w:t>
      </w:r>
    </w:p>
    <w:p w:rsidR="00000000" w:rsidDel="00000000" w:rsidP="00000000" w:rsidRDefault="00000000" w:rsidRPr="00000000" w14:paraId="00000036">
      <w:pPr>
        <w:pStyle w:val="Heading3"/>
        <w:spacing w:after="0" w:before="0" w:lineRule="auto"/>
        <w:rPr/>
      </w:pPr>
      <w:bookmarkStart w:colFirst="0" w:colLast="0" w:name="_xhefiotqqjif" w:id="10"/>
      <w:bookmarkEnd w:id="10"/>
      <w:r w:rsidDel="00000000" w:rsidR="00000000" w:rsidRPr="00000000">
        <w:rPr>
          <w:rtl w:val="0"/>
        </w:rPr>
      </w:r>
    </w:p>
    <w:p w:rsidR="00000000" w:rsidDel="00000000" w:rsidP="00000000" w:rsidRDefault="00000000" w:rsidRPr="00000000" w14:paraId="00000037">
      <w:pPr>
        <w:pStyle w:val="Heading2"/>
        <w:rPr/>
      </w:pPr>
      <w:bookmarkStart w:colFirst="0" w:colLast="0" w:name="_njj8qvhzsdq8" w:id="11"/>
      <w:bookmarkEnd w:id="11"/>
      <w:r w:rsidDel="00000000" w:rsidR="00000000" w:rsidRPr="00000000">
        <w:rPr>
          <w:rtl w:val="0"/>
        </w:rPr>
        <w:t xml:space="preserve">Specific Financial Covenants</w:t>
      </w:r>
    </w:p>
    <w:p w:rsidR="00000000" w:rsidDel="00000000" w:rsidP="00000000" w:rsidRDefault="00000000" w:rsidRPr="00000000" w14:paraId="00000038">
      <w:pPr>
        <w:rPr/>
      </w:pPr>
      <w:r w:rsidDel="00000000" w:rsidR="00000000" w:rsidRPr="00000000">
        <w:rPr>
          <w:rtl w:val="0"/>
        </w:rPr>
        <w:t xml:space="preserve">The specific financial covenants used in a credit agreement depend heavily on the nature of the borrower, its business, the transaction in hand and the concerns of the lender.  Drafting and negotiating financial covenants and the related definitions can be a complicated process. </w:t>
      </w:r>
    </w:p>
    <w:p w:rsidR="00000000" w:rsidDel="00000000" w:rsidP="00000000" w:rsidRDefault="00000000" w:rsidRPr="00000000" w14:paraId="00000039">
      <w:pPr>
        <w:rPr/>
      </w:pPr>
      <w:r w:rsidDel="00000000" w:rsidR="00000000" w:rsidRPr="00000000">
        <w:rPr>
          <w:rtl w:val="0"/>
        </w:rPr>
        <w:t xml:space="preserve">The following provides a long list of specific financial covenants that may be used in a credit agreement depending on the nature of the borrower, its business, the transaction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spacing w:after="0" w:before="0" w:lineRule="auto"/>
        <w:rPr/>
      </w:pPr>
      <w:bookmarkStart w:colFirst="0" w:colLast="0" w:name="_4l1js19aszxw" w:id="12"/>
      <w:bookmarkEnd w:id="12"/>
      <w:r w:rsidDel="00000000" w:rsidR="00000000" w:rsidRPr="00000000">
        <w:rPr>
          <w:rtl w:val="0"/>
        </w:rPr>
        <w:t xml:space="preserve">Restrictions on Liens</w:t>
      </w:r>
    </w:p>
    <w:p w:rsidR="00000000" w:rsidDel="00000000" w:rsidP="00000000" w:rsidRDefault="00000000" w:rsidRPr="00000000" w14:paraId="0000003C">
      <w:pPr>
        <w:rPr/>
      </w:pPr>
      <w:r w:rsidDel="00000000" w:rsidR="00000000" w:rsidRPr="00000000">
        <w:rPr>
          <w:rtl w:val="0"/>
        </w:rPr>
        <w:t xml:space="preserve">The liens negative </w:t>
      </w:r>
      <w:r w:rsidDel="00000000" w:rsidR="00000000" w:rsidRPr="00000000">
        <w:rPr>
          <w:rtl w:val="0"/>
        </w:rPr>
        <w:t xml:space="preserve">covenant</w:t>
      </w:r>
      <w:r w:rsidDel="00000000" w:rsidR="00000000" w:rsidRPr="00000000">
        <w:rPr>
          <w:rtl w:val="0"/>
        </w:rPr>
        <w:t xml:space="preserve"> prohibits the incurrence of indebtedness by the borrower and its subsidiaries with certain negotiated exceptions. lenders want to protect their position with respect to the borrower's assets in a bankruptcy or liquidation and the best way to do that is to limit the number of competing creditors. Lien priority is important to recovery, but the amount of additional indebtedness the borrower incurs directly impacts the its ability to repay the credit facilities.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negotiating an indebtedness negative covenant, the added risk to the lenders needs to be balanced against the borrower's need for flexibility to incur additional indebtedness to fund acquisitions and other growth strategies. </w:t>
      </w:r>
    </w:p>
    <w:p w:rsidR="00000000" w:rsidDel="00000000" w:rsidP="00000000" w:rsidRDefault="00000000" w:rsidRPr="00000000" w14:paraId="0000003F">
      <w:pPr>
        <w:rPr/>
      </w:pPr>
      <w:r w:rsidDel="00000000" w:rsidR="00000000" w:rsidRPr="00000000">
        <w:rPr>
          <w:rtl w:val="0"/>
        </w:rPr>
        <w:t xml:space="preserve">A limitation on indebtedness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40">
      <w:pPr>
        <w:numPr>
          <w:ilvl w:val="0"/>
          <w:numId w:val="5"/>
        </w:numPr>
        <w:spacing w:after="0" w:afterAutospacing="0"/>
        <w:ind w:left="720" w:hanging="360"/>
      </w:pPr>
      <w:r w:rsidDel="00000000" w:rsidR="00000000" w:rsidRPr="00000000">
        <w:rPr>
          <w:rtl w:val="0"/>
        </w:rPr>
        <w:t xml:space="preserve">• existing or anticipated indebtedness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 indebtedness arising in the ordinary course of business as a matter of law or by contract not constituting debt for borrowed money</w:t>
      </w:r>
    </w:p>
    <w:p w:rsidR="00000000" w:rsidDel="00000000" w:rsidP="00000000" w:rsidRDefault="00000000" w:rsidRPr="00000000" w14:paraId="00000042">
      <w:pPr>
        <w:numPr>
          <w:ilvl w:val="0"/>
          <w:numId w:val="5"/>
        </w:numPr>
        <w:spacing w:before="0" w:beforeAutospacing="0" w:lineRule="auto"/>
        <w:ind w:left="720" w:hanging="360"/>
      </w:pPr>
      <w:r w:rsidDel="00000000" w:rsidR="00000000" w:rsidRPr="00000000">
        <w:rPr>
          <w:rtl w:val="0"/>
        </w:rPr>
        <w:t xml:space="preserve">• availability to incur future indebtedness</w:t>
      </w:r>
    </w:p>
    <w:p w:rsidR="00000000" w:rsidDel="00000000" w:rsidP="00000000" w:rsidRDefault="00000000" w:rsidRPr="00000000" w14:paraId="00000043">
      <w:pPr>
        <w:rPr/>
      </w:pPr>
      <w:r w:rsidDel="00000000" w:rsidR="00000000" w:rsidRPr="00000000">
        <w:rPr>
          <w:rtl w:val="0"/>
        </w:rPr>
        <w:t xml:space="preserve">Similar to the liens negative </w:t>
      </w:r>
      <w:r w:rsidDel="00000000" w:rsidR="00000000" w:rsidRPr="00000000">
        <w:rPr>
          <w:rtl w:val="0"/>
        </w:rPr>
        <w:t xml:space="preserve">covenant</w:t>
      </w:r>
      <w:r w:rsidDel="00000000" w:rsidR="00000000" w:rsidRPr="00000000">
        <w:rPr>
          <w:rtl w:val="0"/>
        </w:rPr>
        <w:t xml:space="preserve">, credit agreements will generally permit certain scheduled existing indebtedness to be grandfathered in and will include exceptions for other known indebtedness of the borrower, such as subordinated or unsecured debt, notes, or receivables facilities. A credit agreement will also permit the indebtedness created by the credit agreement itself and related incremental facilities and, if permitted, any incremental equivalent third-party indebtedness. These exceptions often allow such indebtedness to be refinanced subject to restrictions on the maturity, pricing, </w:t>
      </w:r>
      <w:r w:rsidDel="00000000" w:rsidR="00000000" w:rsidRPr="00000000">
        <w:rPr>
          <w:rtl w:val="0"/>
        </w:rPr>
        <w:t xml:space="preserve">covenants</w:t>
      </w:r>
      <w:r w:rsidDel="00000000" w:rsidR="00000000" w:rsidRPr="00000000">
        <w:rPr>
          <w:rtl w:val="0"/>
        </w:rPr>
        <w:t xml:space="preserve">, and other material provisions as well as prohibiting any increase in the amount of such indebtedness. </w:t>
      </w:r>
    </w:p>
    <w:p w:rsidR="00000000" w:rsidDel="00000000" w:rsidP="00000000" w:rsidRDefault="00000000" w:rsidRPr="00000000" w14:paraId="00000044">
      <w:pPr>
        <w:rPr/>
      </w:pPr>
      <w:r w:rsidDel="00000000" w:rsidR="00000000" w:rsidRPr="00000000">
        <w:rPr>
          <w:rtl w:val="0"/>
        </w:rPr>
        <w:t xml:space="preserve">The credit agreement definition of indebtedness generally includes debt for borrowed money as well as payment obligations under hedging agreements, equity redemption payments, capital lease rent payments, and other similar obligations. It is common for the indebtedness negative </w:t>
      </w:r>
      <w:r w:rsidDel="00000000" w:rsidR="00000000" w:rsidRPr="00000000">
        <w:rPr>
          <w:rtl w:val="0"/>
        </w:rPr>
        <w:t xml:space="preserve">covenant</w:t>
      </w:r>
      <w:r w:rsidDel="00000000" w:rsidR="00000000" w:rsidRPr="00000000">
        <w:rPr>
          <w:rtl w:val="0"/>
        </w:rPr>
        <w:t xml:space="preserve"> to include exceptions related to items that technically constitute indebtedness under the credit agreement but do not involve the type of debt that would otherwise appear on the borrower's balance sheet. Such exceptions to the indebtedness negative </w:t>
      </w:r>
      <w:r w:rsidDel="00000000" w:rsidR="00000000" w:rsidRPr="00000000">
        <w:rPr>
          <w:rtl w:val="0"/>
        </w:rPr>
        <w:t xml:space="preserve">covenant </w:t>
      </w:r>
      <w:r w:rsidDel="00000000" w:rsidR="00000000" w:rsidRPr="00000000">
        <w:rPr>
          <w:rtl w:val="0"/>
        </w:rPr>
        <w:t xml:space="preserve">often include the following: </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 non-speculative and ordinary course hedging arrangements for interest rates, commodity pricing risks, or foreign exchange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 indebtedness that may be deemed to exist pursuant to agreements providing for indemnification, purchase price adjustments (including earn-out obligations), or other similar adjustments in connection with a permitted acquisition, investment, or disposition expressly permitted under the credit agreement</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 deferred compensation or other similar arrangements incurred in the ordinary course of business or in connection with a permitted acquisition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 cash management obligations and similar arrangements in connection with deposit accounts incurred in the ordinary course of business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 the financing of insurance premiums or take or pay obligations contained in supply arrangements in the ordinary course of business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 trade or accounts payable or similar obligations, and accrued expenses, incurred in the ordinary course of business, other than for borrowed money</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 letters of credit, bank guarantees, banker's acceptances, warehouse receipts, or similar instruments issued or created in the ordinary course of business, including those incurred for workers' compensation claims, health, disability, or other employee benefits or property, casualty, or liability insurance or self-insurance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 performance, bid, appeal, and surety bonds and performance and completion guarantees, and similar obligations for letters of credit, bank guarantees, or similar instruments related thereto in the ordinary course of business or consistent with past practice</w:t>
      </w:r>
    </w:p>
    <w:p w:rsidR="00000000" w:rsidDel="00000000" w:rsidP="00000000" w:rsidRDefault="00000000" w:rsidRPr="00000000" w14:paraId="0000004D">
      <w:pPr>
        <w:numPr>
          <w:ilvl w:val="0"/>
          <w:numId w:val="1"/>
        </w:numPr>
        <w:spacing w:before="0" w:beforeAutospacing="0" w:lineRule="auto"/>
        <w:ind w:left="720" w:hanging="360"/>
      </w:pPr>
      <w:r w:rsidDel="00000000" w:rsidR="00000000" w:rsidRPr="00000000">
        <w:rPr>
          <w:rtl w:val="0"/>
        </w:rPr>
        <w:t xml:space="preserve">• indebtedness arising from judgments or decrees against the borrower and its subsidiaries not constituting an event of default</w:t>
      </w:r>
    </w:p>
    <w:p w:rsidR="00000000" w:rsidDel="00000000" w:rsidP="00000000" w:rsidRDefault="00000000" w:rsidRPr="00000000" w14:paraId="0000004E">
      <w:pPr>
        <w:rPr/>
      </w:pPr>
      <w:r w:rsidDel="00000000" w:rsidR="00000000" w:rsidRPr="00000000">
        <w:rPr>
          <w:rtl w:val="0"/>
        </w:rPr>
        <w:t xml:space="preserve">As with the lien </w:t>
      </w:r>
      <w:r w:rsidDel="00000000" w:rsidR="00000000" w:rsidRPr="00000000">
        <w:rPr>
          <w:rtl w:val="0"/>
        </w:rPr>
        <w:t xml:space="preserve">covenant</w:t>
      </w:r>
      <w:r w:rsidDel="00000000" w:rsidR="00000000" w:rsidRPr="00000000">
        <w:rPr>
          <w:rtl w:val="0"/>
        </w:rPr>
        <w:t xml:space="preserve">, lenders generally allow the borrower to incur indebtedness arising in the ordinary course of business, such as purchase money liens granted in connection with acquisition of equipment or other property and indebtedness already existing on entities that are acquired by the borrower, subject to a dollar amount cap. Since guarantees of indebtedness can be deemed to be indebtedness, it is also necessary to include a carve-out for guarantees by the loan parties of permitted indebtedness to prevent duplication. </w:t>
      </w:r>
    </w:p>
    <w:p w:rsidR="00000000" w:rsidDel="00000000" w:rsidP="00000000" w:rsidRDefault="00000000" w:rsidRPr="00000000" w14:paraId="0000004F">
      <w:pPr>
        <w:pStyle w:val="Heading3"/>
        <w:spacing w:after="0" w:before="0" w:lineRule="auto"/>
        <w:rPr/>
      </w:pPr>
      <w:bookmarkStart w:colFirst="0" w:colLast="0" w:name="_iyh944x6jtu4" w:id="13"/>
      <w:bookmarkEnd w:id="13"/>
      <w:r w:rsidDel="00000000" w:rsidR="00000000" w:rsidRPr="00000000">
        <w:rPr>
          <w:rtl w:val="0"/>
        </w:rPr>
        <w:t xml:space="preserve">Restrictions on Indebtedness</w:t>
      </w:r>
    </w:p>
    <w:p w:rsidR="00000000" w:rsidDel="00000000" w:rsidP="00000000" w:rsidRDefault="00000000" w:rsidRPr="00000000" w14:paraId="00000050">
      <w:pPr>
        <w:rPr/>
      </w:pPr>
      <w:r w:rsidDel="00000000" w:rsidR="00000000" w:rsidRPr="00000000">
        <w:rPr>
          <w:rtl w:val="0"/>
        </w:rPr>
        <w:t xml:space="preserve">The indebtedness negative </w:t>
      </w:r>
      <w:r w:rsidDel="00000000" w:rsidR="00000000" w:rsidRPr="00000000">
        <w:rPr>
          <w:rtl w:val="0"/>
        </w:rPr>
        <w:t xml:space="preserve">covenant</w:t>
      </w:r>
      <w:r w:rsidDel="00000000" w:rsidR="00000000" w:rsidRPr="00000000">
        <w:rPr>
          <w:rtl w:val="0"/>
        </w:rPr>
        <w:t xml:space="preserve"> prohibits the incurrence of indebtedness by the borrower and its subsidiaries with certain negotiated exceptions. As with the liens </w:t>
      </w:r>
      <w:r w:rsidDel="00000000" w:rsidR="00000000" w:rsidRPr="00000000">
        <w:rPr>
          <w:rtl w:val="0"/>
        </w:rPr>
        <w:t xml:space="preserve">covenant</w:t>
      </w:r>
      <w:r w:rsidDel="00000000" w:rsidR="00000000" w:rsidRPr="00000000">
        <w:rPr>
          <w:rtl w:val="0"/>
        </w:rPr>
        <w:t xml:space="preserve">, lenders want to protect their position with respect to the borrower's assets in a bankruptcy or liquidation and the best way to do that is to limit the number of competing creditors. Lien priority is important to recovery, but the amount of additional indebtedness the borrower incurs directly impacts the its ability to repay the credit facilities. In negotiating an indebtedness negative </w:t>
      </w:r>
      <w:r w:rsidDel="00000000" w:rsidR="00000000" w:rsidRPr="00000000">
        <w:rPr>
          <w:rtl w:val="0"/>
        </w:rPr>
        <w:t xml:space="preserve">covenant</w:t>
      </w:r>
      <w:r w:rsidDel="00000000" w:rsidR="00000000" w:rsidRPr="00000000">
        <w:rPr>
          <w:rtl w:val="0"/>
        </w:rPr>
        <w:t xml:space="preserve">, the added risk to the lenders needs to be balanced against the borrower's need for flexibility to incur additional indebtedness to fund acquisitions and other growth strategies. </w:t>
      </w:r>
    </w:p>
    <w:p w:rsidR="00000000" w:rsidDel="00000000" w:rsidP="00000000" w:rsidRDefault="00000000" w:rsidRPr="00000000" w14:paraId="00000051">
      <w:pPr>
        <w:rPr/>
      </w:pPr>
      <w:r w:rsidDel="00000000" w:rsidR="00000000" w:rsidRPr="00000000">
        <w:rPr>
          <w:rtl w:val="0"/>
        </w:rPr>
        <w:t xml:space="preserve">A limitation on indebtedness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52">
      <w:pPr>
        <w:numPr>
          <w:ilvl w:val="0"/>
          <w:numId w:val="8"/>
        </w:numPr>
        <w:spacing w:after="0" w:afterAutospacing="0"/>
        <w:ind w:left="720" w:hanging="360"/>
      </w:pPr>
      <w:r w:rsidDel="00000000" w:rsidR="00000000" w:rsidRPr="00000000">
        <w:rPr>
          <w:rtl w:val="0"/>
        </w:rPr>
        <w:t xml:space="preserve">• existing or anticipated indebtedness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 indebtedness arising in the ordinary course of business as a matter of law or by contract not constituting debt for borrowed money</w:t>
      </w:r>
    </w:p>
    <w:p w:rsidR="00000000" w:rsidDel="00000000" w:rsidP="00000000" w:rsidRDefault="00000000" w:rsidRPr="00000000" w14:paraId="00000054">
      <w:pPr>
        <w:numPr>
          <w:ilvl w:val="0"/>
          <w:numId w:val="8"/>
        </w:numPr>
        <w:spacing w:before="0" w:beforeAutospacing="0" w:lineRule="auto"/>
        <w:ind w:left="720" w:hanging="360"/>
      </w:pPr>
      <w:r w:rsidDel="00000000" w:rsidR="00000000" w:rsidRPr="00000000">
        <w:rPr>
          <w:rtl w:val="0"/>
        </w:rPr>
        <w:t xml:space="preserve">• availability to incur future indebtedness</w:t>
      </w:r>
    </w:p>
    <w:p w:rsidR="00000000" w:rsidDel="00000000" w:rsidP="00000000" w:rsidRDefault="00000000" w:rsidRPr="00000000" w14:paraId="00000055">
      <w:pPr>
        <w:rPr/>
      </w:pPr>
      <w:r w:rsidDel="00000000" w:rsidR="00000000" w:rsidRPr="00000000">
        <w:rPr>
          <w:rtl w:val="0"/>
        </w:rPr>
        <w:t xml:space="preserve">Similar to the liens negative </w:t>
      </w:r>
      <w:r w:rsidDel="00000000" w:rsidR="00000000" w:rsidRPr="00000000">
        <w:rPr>
          <w:rtl w:val="0"/>
        </w:rPr>
        <w:t xml:space="preserve">covenant</w:t>
      </w:r>
      <w:r w:rsidDel="00000000" w:rsidR="00000000" w:rsidRPr="00000000">
        <w:rPr>
          <w:rtl w:val="0"/>
        </w:rPr>
        <w:t xml:space="preserve">, credit agreements will generally permit certain scheduled existing indebtedness to be grandfathered in and will include exceptions for other known indebtedness of the borrower, such as subordinated or unsecured debt, notes, or receivables facilities. A credit agreement will also permit the indebtedness created by the credit agreement itself and related incremental facilities and, if permitted, any incremental equivalent third-party indebtedness. These exceptions often allow such indebtedness to be refinanced subject to restrictions on the maturity, pricing, </w:t>
      </w:r>
      <w:r w:rsidDel="00000000" w:rsidR="00000000" w:rsidRPr="00000000">
        <w:rPr>
          <w:rtl w:val="0"/>
        </w:rPr>
        <w:t xml:space="preserve">covenants</w:t>
      </w:r>
      <w:r w:rsidDel="00000000" w:rsidR="00000000" w:rsidRPr="00000000">
        <w:rPr>
          <w:rtl w:val="0"/>
        </w:rPr>
        <w:t xml:space="preserve">, and other material provisions as well as prohibiting any increase in the amount of such indebtedness. </w:t>
      </w:r>
    </w:p>
    <w:p w:rsidR="00000000" w:rsidDel="00000000" w:rsidP="00000000" w:rsidRDefault="00000000" w:rsidRPr="00000000" w14:paraId="00000056">
      <w:pPr>
        <w:rPr/>
      </w:pPr>
      <w:r w:rsidDel="00000000" w:rsidR="00000000" w:rsidRPr="00000000">
        <w:rPr>
          <w:rtl w:val="0"/>
        </w:rPr>
        <w:t xml:space="preserve">The credit agreement definition of indebtedness generally includes debt for borrowed money as well as payment obligations under hedging agreements, equity redemption payments, capital lease rent payments, and other similar obligations. It is common for the indebtedness negative </w:t>
      </w:r>
      <w:r w:rsidDel="00000000" w:rsidR="00000000" w:rsidRPr="00000000">
        <w:rPr>
          <w:rtl w:val="0"/>
        </w:rPr>
        <w:t xml:space="preserve">covenant</w:t>
      </w:r>
      <w:r w:rsidDel="00000000" w:rsidR="00000000" w:rsidRPr="00000000">
        <w:rPr>
          <w:rtl w:val="0"/>
        </w:rPr>
        <w:t xml:space="preserve"> to include exceptions related to items that technically constitute indebtedness under the credit agreement but do not involve the type of debt that would otherwise appear on the borrower's balance sheet. Such exceptions to the indebtedness negative </w:t>
      </w:r>
      <w:r w:rsidDel="00000000" w:rsidR="00000000" w:rsidRPr="00000000">
        <w:rPr>
          <w:rtl w:val="0"/>
        </w:rPr>
        <w:t xml:space="preserve">covenant </w:t>
      </w:r>
      <w:r w:rsidDel="00000000" w:rsidR="00000000" w:rsidRPr="00000000">
        <w:rPr>
          <w:rtl w:val="0"/>
        </w:rPr>
        <w:t xml:space="preserve">often include the following: </w:t>
      </w:r>
    </w:p>
    <w:p w:rsidR="00000000" w:rsidDel="00000000" w:rsidP="00000000" w:rsidRDefault="00000000" w:rsidRPr="00000000" w14:paraId="00000057">
      <w:pPr>
        <w:numPr>
          <w:ilvl w:val="0"/>
          <w:numId w:val="2"/>
        </w:numPr>
        <w:spacing w:after="0" w:afterAutospacing="0"/>
        <w:ind w:left="720" w:hanging="360"/>
      </w:pPr>
      <w:r w:rsidDel="00000000" w:rsidR="00000000" w:rsidRPr="00000000">
        <w:rPr>
          <w:rtl w:val="0"/>
        </w:rPr>
        <w:t xml:space="preserve">• non-speculative and ordinary course hedging arrangements for interest rates, commodity pricing risks, or foreign exchange</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 indebtedness that may be deemed to exist pursuant to agreements providing for indemnification, purchase price adjustments (including earn-out obligations), or other similar adjustments in connection with a permitted acquisition, investment, or disposition expressly permitted under the credit agreement</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 deferred compensation or other similar arrangements incurred in the ordinary course of business or in connection with a permitted acquisition</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 cash management obligations and similar arrangements in connection with deposit accounts incurred in the ordinary course of business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 the financing of insurance premiums or take or pay obligations contained in supply arrangements in the ordinary course of business</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 trade or accounts payable or similar obligations, and accrued expenses, incurred in the ordinary course of business, other than for borrowed money</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 letters of credit, bank guarantees, banker's acceptances, warehouse receipts, or similar instruments issued or created in the ordinary course of business, including those incurred for workers' compensation claims, health, disability, or other employee benefits or property, casualty, or liability insurance or self-insurance</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 performance, bid, appeal, and surety bonds and performance and completion guarantees, and similar obligations for letters of credit, bank guarantees, or similar instruments related thereto in the ordinary course of business or consistent with past practice</w:t>
      </w:r>
    </w:p>
    <w:p w:rsidR="00000000" w:rsidDel="00000000" w:rsidP="00000000" w:rsidRDefault="00000000" w:rsidRPr="00000000" w14:paraId="0000005F">
      <w:pPr>
        <w:numPr>
          <w:ilvl w:val="0"/>
          <w:numId w:val="2"/>
        </w:numPr>
        <w:spacing w:before="0" w:beforeAutospacing="0" w:lineRule="auto"/>
        <w:ind w:left="720" w:hanging="360"/>
      </w:pPr>
      <w:r w:rsidDel="00000000" w:rsidR="00000000" w:rsidRPr="00000000">
        <w:rPr>
          <w:rtl w:val="0"/>
        </w:rPr>
        <w:t xml:space="preserve">• indebtedness arising from judgments or decrees against the borrower and its subsidiaries not constituting an event of default</w:t>
      </w:r>
    </w:p>
    <w:p w:rsidR="00000000" w:rsidDel="00000000" w:rsidP="00000000" w:rsidRDefault="00000000" w:rsidRPr="00000000" w14:paraId="00000060">
      <w:pPr>
        <w:rPr/>
      </w:pPr>
      <w:r w:rsidDel="00000000" w:rsidR="00000000" w:rsidRPr="00000000">
        <w:rPr>
          <w:rtl w:val="0"/>
        </w:rPr>
        <w:t xml:space="preserve">As with the lien </w:t>
      </w:r>
      <w:r w:rsidDel="00000000" w:rsidR="00000000" w:rsidRPr="00000000">
        <w:rPr>
          <w:rtl w:val="0"/>
        </w:rPr>
        <w:t xml:space="preserve">covenant</w:t>
      </w:r>
      <w:r w:rsidDel="00000000" w:rsidR="00000000" w:rsidRPr="00000000">
        <w:rPr>
          <w:rtl w:val="0"/>
        </w:rPr>
        <w:t xml:space="preserve">, lenders generally allow the borrower to incur indebtedness arising in the ordinary course of business, such as purchase money liens granted in connection with acquisition of equipment or other property and indebtedness already existing on entities that are acquired by the borrower, subject to a dollar amount cap. Since guarantees of indebtedness can be deemed to be indebtedness, it is also necessary to include a carve-out for guarantees by the loan parties of permitted indebtedness to prevent duplication. </w:t>
      </w:r>
    </w:p>
    <w:p w:rsidR="00000000" w:rsidDel="00000000" w:rsidP="00000000" w:rsidRDefault="00000000" w:rsidRPr="00000000" w14:paraId="00000061">
      <w:pPr>
        <w:rPr/>
      </w:pPr>
      <w:r w:rsidDel="00000000" w:rsidR="00000000" w:rsidRPr="00000000">
        <w:rPr>
          <w:rtl w:val="0"/>
        </w:rPr>
        <w:t xml:space="preserve">There are usually several separate baskets that provide the borrower with general flexibility to incur future indebtedness. An intercompany indebtedness carve-out permits the loan parties to extend credit among themselves, which sometimes requires that such indebtedness be evidenced by a note that is pledged to the lenders as collateral and that such indebtedness be expressly subordinated to the loans under the credit agreement to prevent the loans from being structurally subordinated (i.e., claims at the subsidiary level being paid prior to the lenders' claim at the borrower level). However, intercompany loans made to subsidiaries that are not loan parties are generally subject to a dollar cap since the lenders will not have direct recourse to their assets in a foreclosure. Often a separate basket will also be available for indebtedness of foreign subsidiaries, but similar to intercompany loans to non-loan parties, this will be subject to a dollar amount cap. Many foreign jurisdictions present tax complications for repatriating cash to Canada, so lenders are wary of any circumstance where domestic cash is being sent overseas. Also, for domestic companies, lenders are often concerned that expansion of foreign operations will divert resources and focus from the core business that will primarily repay the credit facilities. </w:t>
      </w:r>
    </w:p>
    <w:p w:rsidR="00000000" w:rsidDel="00000000" w:rsidP="00000000" w:rsidRDefault="00000000" w:rsidRPr="00000000" w14:paraId="00000062">
      <w:pPr>
        <w:rPr/>
      </w:pPr>
      <w:r w:rsidDel="00000000" w:rsidR="00000000" w:rsidRPr="00000000">
        <w:rPr>
          <w:rtl w:val="0"/>
        </w:rPr>
        <w:t xml:space="preserve">The general indebtedness basket is usually expressed as a flat dollar amount but is sometimes tied to a grower percentage of a financial measure, such as total assets or EBITDA. The general indebtedness basket is often split into separate baskets for different types of indebtedness, such as secured, unsecured, and junior. In aggressive private equity sponsor style transactions, the general basket availability is often unlimited so long as the borrower complies with an agreed-upon financial ratio after giving pro forma effect to the incurrence of the indebtedness (sometimes referred to as ratio debt availability). In other borrower-friendly financings, the general indebtedness basket may a grower basket up to as much as 100% of EBITDA less any interest reserves. In addition, these same borrowers often win the right to use any unused general basket for restricted payments for the incurrence of additional indebtedness. A final recent trend in borrower-friendly debt baskets is to allow a certain amount (expressed as a percentage of EBITDA) to mature prior to the maturity of the loans. </w:t>
      </w:r>
    </w:p>
    <w:p w:rsidR="00000000" w:rsidDel="00000000" w:rsidP="00000000" w:rsidRDefault="00000000" w:rsidRPr="00000000" w14:paraId="00000063">
      <w:pPr>
        <w:rPr/>
      </w:pPr>
      <w:r w:rsidDel="00000000" w:rsidR="00000000" w:rsidRPr="00000000">
        <w:rPr>
          <w:rtl w:val="0"/>
        </w:rPr>
        <w:t xml:space="preserve">Also in aggressive borrower-friendly transactions, indebtedness negative </w:t>
      </w:r>
      <w:r w:rsidDel="00000000" w:rsidR="00000000" w:rsidRPr="00000000">
        <w:rPr>
          <w:rtl w:val="0"/>
        </w:rPr>
        <w:t xml:space="preserve">covenants</w:t>
      </w:r>
      <w:r w:rsidDel="00000000" w:rsidR="00000000" w:rsidRPr="00000000">
        <w:rPr>
          <w:rtl w:val="0"/>
        </w:rPr>
        <w:t xml:space="preserve"> sometimes include a general rule that the borrower may, in its discretion, classify or reclassify any indebtedness (or any portion thereof) among any of the baskets and carve-outs. In practice, borrowers do not keep administrative agents informed as to how they utilize their various exceptions to the indebtedness negative </w:t>
      </w:r>
      <w:r w:rsidDel="00000000" w:rsidR="00000000" w:rsidRPr="00000000">
        <w:rPr>
          <w:rtl w:val="0"/>
        </w:rPr>
        <w:t xml:space="preserve">covenant</w:t>
      </w:r>
      <w:r w:rsidDel="00000000" w:rsidR="00000000" w:rsidRPr="00000000">
        <w:rPr>
          <w:rtl w:val="0"/>
        </w:rPr>
        <w:t xml:space="preserve">, and so this language may generally reflect how borrowers actually internally manage their indebtedness availability. However, this provision makes lenders uncomfortable because it could potentially limit their recourse if they disagree with the borrower that a specific transaction should be permitted or not. Note that private equity sponsors also push to add this concept with less success with regard to the liens, investments, and restricted payments negative </w:t>
      </w:r>
      <w:r w:rsidDel="00000000" w:rsidR="00000000" w:rsidRPr="00000000">
        <w:rPr>
          <w:rtl w:val="0"/>
        </w:rPr>
        <w:t xml:space="preserve">covenants</w:t>
      </w:r>
      <w:r w:rsidDel="00000000" w:rsidR="00000000" w:rsidRPr="00000000">
        <w:rPr>
          <w:rtl w:val="0"/>
        </w:rPr>
        <w:t xml:space="preserve">. </w:t>
      </w:r>
    </w:p>
    <w:p w:rsidR="00000000" w:rsidDel="00000000" w:rsidP="00000000" w:rsidRDefault="00000000" w:rsidRPr="00000000" w14:paraId="00000064">
      <w:pPr>
        <w:pStyle w:val="Heading3"/>
        <w:spacing w:after="0" w:before="0" w:lineRule="auto"/>
        <w:rPr/>
      </w:pPr>
      <w:bookmarkStart w:colFirst="0" w:colLast="0" w:name="_fbayptni633s" w:id="14"/>
      <w:bookmarkEnd w:id="14"/>
      <w:r w:rsidDel="00000000" w:rsidR="00000000" w:rsidRPr="00000000">
        <w:rPr>
          <w:rtl w:val="0"/>
        </w:rPr>
        <w:t xml:space="preserve">Restrictions on Investments</w:t>
      </w:r>
    </w:p>
    <w:p w:rsidR="00000000" w:rsidDel="00000000" w:rsidP="00000000" w:rsidRDefault="00000000" w:rsidRPr="00000000" w14:paraId="00000065">
      <w:pPr>
        <w:rPr/>
      </w:pPr>
      <w:r w:rsidDel="00000000" w:rsidR="00000000" w:rsidRPr="00000000">
        <w:rPr>
          <w:rtl w:val="0"/>
        </w:rPr>
        <w:t xml:space="preserve">The investments negative </w:t>
      </w:r>
      <w:r w:rsidDel="00000000" w:rsidR="00000000" w:rsidRPr="00000000">
        <w:rPr>
          <w:rtl w:val="0"/>
        </w:rPr>
        <w:t xml:space="preserve">covenant</w:t>
      </w:r>
      <w:r w:rsidDel="00000000" w:rsidR="00000000" w:rsidRPr="00000000">
        <w:rPr>
          <w:rtl w:val="0"/>
        </w:rPr>
        <w:t xml:space="preserve"> prohibits the borrower and its subsidiaries from making acquisitions, loans, capital contributions, or guarantees or entering into any commitments to make investments, with certain negotiated exceptions. The borrower may have excess cash that it would prefer to invest in its business rather than use to pay down the loan obligations. Lenders want the borrower to be healthy and growing successfully, but also want to make sure that any investments that borrower makes are accretive to the collateral package and not just lost value that could otherwise have been spent servicing its indebtedness. </w:t>
      </w:r>
    </w:p>
    <w:p w:rsidR="00000000" w:rsidDel="00000000" w:rsidP="00000000" w:rsidRDefault="00000000" w:rsidRPr="00000000" w14:paraId="00000066">
      <w:pPr>
        <w:rPr/>
      </w:pPr>
      <w:r w:rsidDel="00000000" w:rsidR="00000000" w:rsidRPr="00000000">
        <w:rPr>
          <w:rtl w:val="0"/>
        </w:rPr>
        <w:t xml:space="preserve">A limitation on investments negative </w:t>
      </w:r>
      <w:r w:rsidDel="00000000" w:rsidR="00000000" w:rsidRPr="00000000">
        <w:rPr>
          <w:rtl w:val="0"/>
        </w:rPr>
        <w:t xml:space="preserve">covenant</w:t>
      </w:r>
      <w:r w:rsidDel="00000000" w:rsidR="00000000" w:rsidRPr="00000000">
        <w:rPr>
          <w:rtl w:val="0"/>
        </w:rPr>
        <w:t xml:space="preserve"> generally has exceptions that can be divided into three categories: </w:t>
      </w:r>
    </w:p>
    <w:p w:rsidR="00000000" w:rsidDel="00000000" w:rsidP="00000000" w:rsidRDefault="00000000" w:rsidRPr="00000000" w14:paraId="00000067">
      <w:pPr>
        <w:numPr>
          <w:ilvl w:val="0"/>
          <w:numId w:val="7"/>
        </w:numPr>
        <w:spacing w:after="0" w:afterAutospacing="0"/>
        <w:ind w:left="720" w:hanging="360"/>
      </w:pPr>
      <w:r w:rsidDel="00000000" w:rsidR="00000000" w:rsidRPr="00000000">
        <w:rPr>
          <w:rtl w:val="0"/>
        </w:rPr>
        <w:t xml:space="preserve">• existing or anticipated investments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 investments arising in the ordinary course of business</w:t>
      </w:r>
    </w:p>
    <w:p w:rsidR="00000000" w:rsidDel="00000000" w:rsidP="00000000" w:rsidRDefault="00000000" w:rsidRPr="00000000" w14:paraId="00000069">
      <w:pPr>
        <w:numPr>
          <w:ilvl w:val="0"/>
          <w:numId w:val="7"/>
        </w:numPr>
        <w:spacing w:before="0" w:beforeAutospacing="0" w:lineRule="auto"/>
        <w:ind w:left="720" w:hanging="360"/>
      </w:pPr>
      <w:r w:rsidDel="00000000" w:rsidR="00000000" w:rsidRPr="00000000">
        <w:rPr>
          <w:rtl w:val="0"/>
        </w:rPr>
        <w:t xml:space="preserve">• availability to incur future investments</w:t>
      </w:r>
    </w:p>
    <w:p w:rsidR="00000000" w:rsidDel="00000000" w:rsidP="00000000" w:rsidRDefault="00000000" w:rsidRPr="00000000" w14:paraId="0000006A">
      <w:pPr>
        <w:rPr/>
      </w:pPr>
      <w:r w:rsidDel="00000000" w:rsidR="00000000" w:rsidRPr="00000000">
        <w:rPr>
          <w:rtl w:val="0"/>
        </w:rPr>
        <w:t xml:space="preserve">Unless any existing or contemplated investments raise material issues affecting the borrower's ability to repay the loans, lenders customarily permit such investments to be grandfathered. Sometimes lenders require such investments to be described in detail on a schedule. These grandfathered investments are often allowed to be modified or replaced so long as the dollar amount thereof is not increased, unless such increase was contemplated in the initial documentation of such investment. The credit agreement will also permit the investments involved in the closing transactions (and any related acquisitions). </w:t>
      </w:r>
    </w:p>
    <w:p w:rsidR="00000000" w:rsidDel="00000000" w:rsidP="00000000" w:rsidRDefault="00000000" w:rsidRPr="00000000" w14:paraId="0000006B">
      <w:pPr>
        <w:rPr/>
      </w:pPr>
      <w:r w:rsidDel="00000000" w:rsidR="00000000" w:rsidRPr="00000000">
        <w:rPr>
          <w:rtl w:val="0"/>
        </w:rPr>
        <w:t xml:space="preserve">Lenders also permit investments in cash and cash equivalents because such investments are relatively risk-free and are part of the customary cash management operations of many companies. Cash equivalents are defined to include short-term, liquid investments that can be readily converted to cash if necessary. Examples include highly rated commercial paper, short-term Treasury notes, short-term certificates of deposit, and money market funds that invest primarily in the foregoing. </w:t>
      </w:r>
    </w:p>
    <w:p w:rsidR="00000000" w:rsidDel="00000000" w:rsidP="00000000" w:rsidRDefault="00000000" w:rsidRPr="00000000" w14:paraId="0000006C">
      <w:pPr>
        <w:rPr/>
      </w:pPr>
      <w:r w:rsidDel="00000000" w:rsidR="00000000" w:rsidRPr="00000000">
        <w:rPr>
          <w:rtl w:val="0"/>
        </w:rPr>
        <w:t xml:space="preserve">Other customary permitted ordinary course investments include loans and advances to directors, officers, and employees for business related matters (often subject to a dollar amount cap); the acquisition and holding of accounts receivable; non-speculative hedging arrangements; the endorsement of negotiable instruments held for collection; and assets received in settlement of disputes or upon foreclosure pursuant to a bankruptcy or liquidation of trade creditors or customers. Since guarantees of indebtedness can be deemed to be investments, it is also necessary to include a carve-out for guarantees by the loan parties of investments that are otherwise permitted to prevent duplication. </w:t>
      </w:r>
    </w:p>
    <w:p w:rsidR="00000000" w:rsidDel="00000000" w:rsidP="00000000" w:rsidRDefault="00000000" w:rsidRPr="00000000" w14:paraId="0000006D">
      <w:pPr>
        <w:rPr/>
      </w:pPr>
      <w:r w:rsidDel="00000000" w:rsidR="00000000" w:rsidRPr="00000000">
        <w:rPr>
          <w:rtl w:val="0"/>
        </w:rPr>
        <w:t xml:space="preserve">Similar to intercompany indebtedness, the investments negative </w:t>
      </w:r>
      <w:r w:rsidDel="00000000" w:rsidR="00000000" w:rsidRPr="00000000">
        <w:rPr>
          <w:rtl w:val="0"/>
        </w:rPr>
        <w:t xml:space="preserve">covenant</w:t>
      </w:r>
      <w:r w:rsidDel="00000000" w:rsidR="00000000" w:rsidRPr="00000000">
        <w:rPr>
          <w:rtl w:val="0"/>
        </w:rPr>
        <w:t xml:space="preserve"> will generally allow investments among the corporate group. This basket is usually unlimited for loan parties and subject to a dollar cap for non-loan parties. This distinction arises because of the same structural subordination concern applicable to intercompany debt (i.e., that claims at the subsidiary level will get paid prior to claims at the borrower level), but investments in non-loan parties are even more concerning to lenders since these entities are not subject to the </w:t>
      </w:r>
      <w:r w:rsidDel="00000000" w:rsidR="00000000" w:rsidRPr="00000000">
        <w:rPr>
          <w:rtl w:val="0"/>
        </w:rPr>
        <w:t xml:space="preserve">covenants</w:t>
      </w:r>
      <w:r w:rsidDel="00000000" w:rsidR="00000000" w:rsidRPr="00000000">
        <w:rPr>
          <w:rtl w:val="0"/>
        </w:rPr>
        <w:t xml:space="preserve"> and have no limit to their own investments, dividends, etc. If there is no guarantee from a non-loan party subsidiary, the lenders will have no dir</w:t>
      </w:r>
      <w:r w:rsidDel="00000000" w:rsidR="00000000" w:rsidRPr="00000000">
        <w:rPr>
          <w:rtl w:val="0"/>
        </w:rPr>
        <w:t xml:space="preserve">ect recourse to any cash invested in such non-loan party in a foreclosure situation. </w:t>
      </w:r>
    </w:p>
    <w:p w:rsidR="00000000" w:rsidDel="00000000" w:rsidP="00000000" w:rsidRDefault="00000000" w:rsidRPr="00000000" w14:paraId="0000006E">
      <w:pPr>
        <w:rPr/>
      </w:pPr>
      <w:r w:rsidDel="00000000" w:rsidR="00000000" w:rsidRPr="00000000">
        <w:rPr>
          <w:rtl w:val="0"/>
        </w:rPr>
        <w:t xml:space="preserve">The borrower's main focus will be on having sufficient flexibility to make necessary acquisitions to expand its business; accordingly, most credit agreements include an exception setting forth the parameters for permitted acquisitions. The permitted acquisition carve-out will generally provide an overall dollar limit on the per-transaction purchase price and an overall limit on transactions that may be effected throughout the life of the loans. The exception may also require certain certifications be made by a responsible officer, such as compliance with a financial ratio test, confirmation that all the newly acquired entities or assets are subject to guarantees and liens in favor of the lenders, and confirmation that the acquisition is otherwise permitted pursuant to the terms of the credit agreement. </w:t>
      </w:r>
    </w:p>
    <w:p w:rsidR="00000000" w:rsidDel="00000000" w:rsidP="00000000" w:rsidRDefault="00000000" w:rsidRPr="00000000" w14:paraId="0000006F">
      <w:pPr>
        <w:rPr/>
      </w:pPr>
      <w:r w:rsidDel="00000000" w:rsidR="00000000" w:rsidRPr="00000000">
        <w:rPr>
          <w:rtl w:val="0"/>
        </w:rPr>
        <w:t xml:space="preserve">The general investments basket is usually expressed as a flat dollar amount, but it is sometimes tied to a percentage of a grower financial measure, such as total assets or EBITDA. As with liens and indebtedness, in aggressive transactions the general basket availability is often unlimited so long as the borrower complies with an agreed-upon financial ratio after giving pro forma effect to the incurrence of the investments. In addition, private equity sponsors generally push for an available amount or builder basket provision that allows the borrower to pool availability that can be used to make investments, restricted payments, or prepayments of junior indebtedness, in the borrower's discretion. The pooled available amount usually consists of a percentage of excess cash flow or consolidated net income (the borrower generally chooses one or the other at the commitment papers stage of the transaction) plus proceeds from the issuance of indebtedness and qualified equity as well as returns on investments. </w:t>
      </w:r>
    </w:p>
    <w:p w:rsidR="00000000" w:rsidDel="00000000" w:rsidP="00000000" w:rsidRDefault="00000000" w:rsidRPr="00000000" w14:paraId="00000070">
      <w:pPr>
        <w:pStyle w:val="Heading3"/>
        <w:spacing w:after="0" w:before="0" w:lineRule="auto"/>
        <w:rPr/>
      </w:pPr>
      <w:bookmarkStart w:colFirst="0" w:colLast="0" w:name="_x9pegyajaw3h" w:id="15"/>
      <w:bookmarkEnd w:id="15"/>
      <w:r w:rsidDel="00000000" w:rsidR="00000000" w:rsidRPr="00000000">
        <w:rPr>
          <w:rtl w:val="0"/>
        </w:rPr>
        <w:t xml:space="preserve">Restrictions on Fundamental Changes</w:t>
      </w:r>
    </w:p>
    <w:p w:rsidR="00000000" w:rsidDel="00000000" w:rsidP="00000000" w:rsidRDefault="00000000" w:rsidRPr="00000000" w14:paraId="00000071">
      <w:pPr>
        <w:rPr/>
      </w:pPr>
      <w:r w:rsidDel="00000000" w:rsidR="00000000" w:rsidRPr="00000000">
        <w:rPr>
          <w:rtl w:val="0"/>
        </w:rPr>
        <w:t xml:space="preserve">The fundamental changes negative </w:t>
      </w:r>
      <w:r w:rsidDel="00000000" w:rsidR="00000000" w:rsidRPr="00000000">
        <w:rPr>
          <w:rtl w:val="0"/>
        </w:rPr>
        <w:t xml:space="preserve">covenant</w:t>
      </w:r>
      <w:r w:rsidDel="00000000" w:rsidR="00000000" w:rsidRPr="00000000">
        <w:rPr>
          <w:rtl w:val="0"/>
        </w:rPr>
        <w:t xml:space="preserve"> (sometimes referred to as a limitation on mergers and consolidations negative </w:t>
      </w:r>
      <w:r w:rsidDel="00000000" w:rsidR="00000000" w:rsidRPr="00000000">
        <w:rPr>
          <w:rtl w:val="0"/>
        </w:rPr>
        <w:t xml:space="preserve">covenant</w:t>
      </w:r>
      <w:r w:rsidDel="00000000" w:rsidR="00000000" w:rsidRPr="00000000">
        <w:rPr>
          <w:rtl w:val="0"/>
        </w:rPr>
        <w:t xml:space="preserve">) prohibits transactions that could potentially alter the borrower's corporate structure or the nature or extent of its assets, with certain negotiated exceptions. The fundamental changes negative </w:t>
      </w:r>
      <w:r w:rsidDel="00000000" w:rsidR="00000000" w:rsidRPr="00000000">
        <w:rPr>
          <w:rtl w:val="0"/>
        </w:rPr>
        <w:t xml:space="preserve">covenant</w:t>
      </w:r>
      <w:r w:rsidDel="00000000" w:rsidR="00000000" w:rsidRPr="00000000">
        <w:rPr>
          <w:rtl w:val="0"/>
        </w:rPr>
        <w:t xml:space="preserve"> typically restricts the borrower's ability to consummate mergers and consolidations, liquidations and dissolutions, and dispositions (whether in one or a series of transactions) of all or substantially all of a loan party's assets. Any such changes could be at odds with the fundamental assumptions on which the lenders based their decisions to provide the credit facilities, so it is important to lenders to have parameters on what new directions the borrower can take their business in. </w:t>
      </w:r>
    </w:p>
    <w:p w:rsidR="00000000" w:rsidDel="00000000" w:rsidP="00000000" w:rsidRDefault="00000000" w:rsidRPr="00000000" w14:paraId="00000072">
      <w:pPr>
        <w:rPr/>
      </w:pPr>
      <w:r w:rsidDel="00000000" w:rsidR="00000000" w:rsidRPr="00000000">
        <w:rPr>
          <w:rtl w:val="0"/>
        </w:rPr>
        <w:t xml:space="preserve">This negative </w:t>
      </w:r>
      <w:r w:rsidDel="00000000" w:rsidR="00000000" w:rsidRPr="00000000">
        <w:rPr>
          <w:rtl w:val="0"/>
        </w:rPr>
        <w:t xml:space="preserve">covenant</w:t>
      </w:r>
      <w:r w:rsidDel="00000000" w:rsidR="00000000" w:rsidRPr="00000000">
        <w:rPr>
          <w:rtl w:val="0"/>
        </w:rPr>
        <w:t xml:space="preserve"> usually contains a large carve-out to allow any transactions structured as mergers that would otherwise qualify as permitted acquisitions under the investments negative </w:t>
      </w:r>
      <w:r w:rsidDel="00000000" w:rsidR="00000000" w:rsidRPr="00000000">
        <w:rPr>
          <w:rtl w:val="0"/>
        </w:rPr>
        <w:t xml:space="preserve">covenant</w:t>
      </w:r>
      <w:r w:rsidDel="00000000" w:rsidR="00000000" w:rsidRPr="00000000">
        <w:rPr>
          <w:rtl w:val="0"/>
        </w:rPr>
        <w:t xml:space="preserve">. Generally, if the borrower is the surviving entity of a merger, the transaction will be permitted. Some credit agreements contain additional requirements that the merging entities be solvent at the time of the merger and that the surviving company does not become a</w:t>
      </w:r>
      <w:r w:rsidDel="00000000" w:rsidR="00000000" w:rsidRPr="00000000">
        <w:rPr>
          <w:rtl w:val="0"/>
        </w:rPr>
        <w:t xml:space="preserve"> foreign resident. Typically, mergers and other similar transactions among subsidiaries that are loan parties are permitted, and mergers and other similar transactions among non-loan parties are permitted. It is also important that the credit agreement include a carve-out for the dissolution of subsidiaries that will not result in a material adverse effect to allow the borrower to manage its organizational structure and phase out entities that are no longer operational or necessary. </w:t>
      </w:r>
    </w:p>
    <w:p w:rsidR="00000000" w:rsidDel="00000000" w:rsidP="00000000" w:rsidRDefault="00000000" w:rsidRPr="00000000" w14:paraId="00000073">
      <w:pPr>
        <w:pStyle w:val="Heading3"/>
        <w:spacing w:after="0" w:before="0" w:lineRule="auto"/>
        <w:rPr/>
      </w:pPr>
      <w:bookmarkStart w:colFirst="0" w:colLast="0" w:name="_n1df4qzbor9f" w:id="16"/>
      <w:bookmarkEnd w:id="16"/>
      <w:r w:rsidDel="00000000" w:rsidR="00000000" w:rsidRPr="00000000">
        <w:rPr>
          <w:rtl w:val="0"/>
        </w:rPr>
        <w:t xml:space="preserve">Restrictions on Asset Sales</w:t>
      </w:r>
    </w:p>
    <w:p w:rsidR="00000000" w:rsidDel="00000000" w:rsidP="00000000" w:rsidRDefault="00000000" w:rsidRPr="00000000" w14:paraId="00000074">
      <w:pPr>
        <w:rPr/>
      </w:pPr>
      <w:r w:rsidDel="00000000" w:rsidR="00000000" w:rsidRPr="00000000">
        <w:rPr>
          <w:rtl w:val="0"/>
        </w:rPr>
        <w:t xml:space="preserve">The asset sales negative </w:t>
      </w:r>
      <w:r w:rsidDel="00000000" w:rsidR="00000000" w:rsidRPr="00000000">
        <w:rPr>
          <w:rtl w:val="0"/>
        </w:rPr>
        <w:t xml:space="preserve">covenant</w:t>
      </w:r>
      <w:r w:rsidDel="00000000" w:rsidR="00000000" w:rsidRPr="00000000">
        <w:rPr>
          <w:rtl w:val="0"/>
        </w:rPr>
        <w:t xml:space="preserve"> (sometimes referred to as the limitation on dispositions negative </w:t>
      </w:r>
      <w:r w:rsidDel="00000000" w:rsidR="00000000" w:rsidRPr="00000000">
        <w:rPr>
          <w:rtl w:val="0"/>
        </w:rPr>
        <w:t xml:space="preserve">covenant</w:t>
      </w:r>
      <w:r w:rsidDel="00000000" w:rsidR="00000000" w:rsidRPr="00000000">
        <w:rPr>
          <w:rtl w:val="0"/>
        </w:rPr>
        <w:t xml:space="preserve">) prohibits the borrower and its subsidiaries from disposing of their assets, with certain negotiated exceptions. Lenders prefer that borrowers use their assets to generate revenue that can be used to repay the loans rather than receive one-time payments by selling their assets. However, borrowers want to be able to freely operate their businesses, which may require selling their properties. Typically, the carve-outs are set up to allow ordinary course and immaterial dispositions as well as a general basket subject to negotiated restrictions. </w:t>
      </w:r>
    </w:p>
    <w:p w:rsidR="00000000" w:rsidDel="00000000" w:rsidP="00000000" w:rsidRDefault="00000000" w:rsidRPr="00000000" w14:paraId="00000075">
      <w:pPr>
        <w:rPr/>
      </w:pPr>
      <w:r w:rsidDel="00000000" w:rsidR="00000000" w:rsidRPr="00000000">
        <w:rPr>
          <w:rtl w:val="0"/>
        </w:rPr>
        <w:t xml:space="preserve">Often borrowers will push for a threshold below which dispositions are exempt from the negative </w:t>
      </w:r>
      <w:r w:rsidDel="00000000" w:rsidR="00000000" w:rsidRPr="00000000">
        <w:rPr>
          <w:rtl w:val="0"/>
        </w:rPr>
        <w:t xml:space="preserve">covenant</w:t>
      </w:r>
      <w:r w:rsidDel="00000000" w:rsidR="00000000" w:rsidRPr="00000000">
        <w:rPr>
          <w:rtl w:val="0"/>
        </w:rPr>
        <w:t xml:space="preserve">. Above that threshold, borrowers will customarily be permitted to make sales of inventory and ordinary course sales of assets that are obsolete or no longer used or useful in their business. Generally, borrowers are permitted to license intellectual property to third-parties in the ordinary course of business and abandon or dispose of any intellectual property that is no longer economically practical to maintain. It is also important to include carve-outs for any assets sales that could be deemed to have occurred as a result of transactions permitted under the liens, investments, mergers, or restricted payments negative </w:t>
      </w:r>
      <w:r w:rsidDel="00000000" w:rsidR="00000000" w:rsidRPr="00000000">
        <w:rPr>
          <w:rtl w:val="0"/>
        </w:rPr>
        <w:t xml:space="preserve">covenants</w:t>
      </w:r>
      <w:r w:rsidDel="00000000" w:rsidR="00000000" w:rsidRPr="00000000">
        <w:rPr>
          <w:rtl w:val="0"/>
        </w:rPr>
        <w:t xml:space="preserve"> to avoid inadvertent defaults. </w:t>
      </w:r>
    </w:p>
    <w:p w:rsidR="00000000" w:rsidDel="00000000" w:rsidP="00000000" w:rsidRDefault="00000000" w:rsidRPr="00000000" w14:paraId="00000076">
      <w:pPr>
        <w:rPr/>
      </w:pPr>
      <w:r w:rsidDel="00000000" w:rsidR="00000000" w:rsidRPr="00000000">
        <w:rPr>
          <w:rtl w:val="0"/>
        </w:rPr>
        <w:t xml:space="preserve">Asset sales negative </w:t>
      </w:r>
      <w:r w:rsidDel="00000000" w:rsidR="00000000" w:rsidRPr="00000000">
        <w:rPr>
          <w:rtl w:val="0"/>
        </w:rPr>
        <w:t xml:space="preserve">covenants</w:t>
      </w:r>
      <w:r w:rsidDel="00000000" w:rsidR="00000000" w:rsidRPr="00000000">
        <w:rPr>
          <w:rtl w:val="0"/>
        </w:rPr>
        <w:t xml:space="preserve"> generally allow sales of assets among the loan parties, sometimes with a dollar cap on sales to non-loan parties. Transfers of the equity in subsidiaries among the loan group are also generally permitted to allow the borrower to restructure its internal organization, usually subject to requirements that any such transfer be on an arm's-length basis and that no change of control occur (as defined in the credit agreement). </w:t>
      </w:r>
    </w:p>
    <w:p w:rsidR="00000000" w:rsidDel="00000000" w:rsidP="00000000" w:rsidRDefault="00000000" w:rsidRPr="00000000" w14:paraId="00000077">
      <w:pPr>
        <w:rPr/>
      </w:pPr>
      <w:r w:rsidDel="00000000" w:rsidR="00000000" w:rsidRPr="00000000">
        <w:rPr>
          <w:rtl w:val="0"/>
        </w:rPr>
        <w:t xml:space="preserve">The general asset sale basket allows dispositions for fair market value, subject to an aggregate dollar cap, usually for each fiscal year or four consecutive fiscal quarter period. This cap is also sometimes tied to a grower percentage of a financial measure, such as total assets or EBITDA. The general basket also usually requires that the consideration paid in connection with the permitted disposition consist of at least 75% cash or cash equivalents. In aggressive private equity sponsor style transactions cash consideration is sometimes further defined to include securities converted into cash within a certain period, assumed liabilities, and assets that are not cash, subject to a dollar value cap. </w:t>
      </w:r>
    </w:p>
    <w:p w:rsidR="00000000" w:rsidDel="00000000" w:rsidP="00000000" w:rsidRDefault="00000000" w:rsidRPr="00000000" w14:paraId="00000078">
      <w:pPr>
        <w:pStyle w:val="Heading3"/>
        <w:spacing w:after="0" w:before="0" w:lineRule="auto"/>
        <w:rPr/>
      </w:pPr>
      <w:bookmarkStart w:colFirst="0" w:colLast="0" w:name="_xs33zk4vqkoo" w:id="17"/>
      <w:bookmarkEnd w:id="17"/>
      <w:r w:rsidDel="00000000" w:rsidR="00000000" w:rsidRPr="00000000">
        <w:rPr>
          <w:rtl w:val="0"/>
        </w:rPr>
        <w:t xml:space="preserve">Limitations on Sale and Leaseback Transactions</w:t>
      </w:r>
    </w:p>
    <w:p w:rsidR="00000000" w:rsidDel="00000000" w:rsidP="00000000" w:rsidRDefault="00000000" w:rsidRPr="00000000" w14:paraId="00000079">
      <w:pPr>
        <w:rPr/>
      </w:pPr>
      <w:r w:rsidDel="00000000" w:rsidR="00000000" w:rsidRPr="00000000">
        <w:rPr>
          <w:rtl w:val="0"/>
        </w:rPr>
        <w:t xml:space="preserve">The sale leasebacks negative </w:t>
      </w:r>
      <w:r w:rsidDel="00000000" w:rsidR="00000000" w:rsidRPr="00000000">
        <w:rPr>
          <w:rtl w:val="0"/>
        </w:rPr>
        <w:t xml:space="preserve">covenant</w:t>
      </w:r>
      <w:r w:rsidDel="00000000" w:rsidR="00000000" w:rsidRPr="00000000">
        <w:rPr>
          <w:rtl w:val="0"/>
        </w:rPr>
        <w:t xml:space="preserve"> prohibits the borrower and its subsidiaries from selling an asset to a third-party, usually for market value, and leasing the asset back, with certain negotiated exceptions. The substance of this </w:t>
      </w:r>
      <w:r w:rsidDel="00000000" w:rsidR="00000000" w:rsidRPr="00000000">
        <w:rPr>
          <w:rtl w:val="0"/>
        </w:rPr>
        <w:t xml:space="preserve">covenant</w:t>
      </w:r>
      <w:r w:rsidDel="00000000" w:rsidR="00000000" w:rsidRPr="00000000">
        <w:rPr>
          <w:rtl w:val="0"/>
        </w:rPr>
        <w:t xml:space="preserve"> is sometimes included as a subset of the asset sale negative </w:t>
      </w:r>
      <w:r w:rsidDel="00000000" w:rsidR="00000000" w:rsidRPr="00000000">
        <w:rPr>
          <w:rtl w:val="0"/>
        </w:rPr>
        <w:t xml:space="preserve">covenant</w:t>
      </w:r>
      <w:r w:rsidDel="00000000" w:rsidR="00000000" w:rsidRPr="00000000">
        <w:rPr>
          <w:rtl w:val="0"/>
        </w:rPr>
        <w:t xml:space="preserve">, but it is often broken out as a stand-alone </w:t>
      </w:r>
      <w:r w:rsidDel="00000000" w:rsidR="00000000" w:rsidRPr="00000000">
        <w:rPr>
          <w:rtl w:val="0"/>
        </w:rPr>
        <w:t xml:space="preserve">covenant</w:t>
      </w:r>
      <w:r w:rsidDel="00000000" w:rsidR="00000000" w:rsidRPr="00000000">
        <w:rPr>
          <w:rtl w:val="0"/>
        </w:rPr>
        <w:t xml:space="preserve">. A sale leaseback transaction allows the borrower to monetize an asset and achieve other tax and balance sheet efficiencies, but to the lenders it is viewed like an asset sale where a valuable revenue generating asset is replaced with cash. Depending on the borrower's business practices, this negative </w:t>
      </w:r>
      <w:r w:rsidDel="00000000" w:rsidR="00000000" w:rsidRPr="00000000">
        <w:rPr>
          <w:rtl w:val="0"/>
        </w:rPr>
        <w:t xml:space="preserve">covenant</w:t>
      </w:r>
      <w:r w:rsidDel="00000000" w:rsidR="00000000" w:rsidRPr="00000000">
        <w:rPr>
          <w:rtl w:val="0"/>
        </w:rPr>
        <w:t xml:space="preserve"> can vary greatly, but generally sale leaseback transactions are permitted subject to caps and conditions. Requirements often include, no default or event of default occurring before and after the transaction, compliance with financial </w:t>
      </w:r>
      <w:r w:rsidDel="00000000" w:rsidR="00000000" w:rsidRPr="00000000">
        <w:rPr>
          <w:rtl w:val="0"/>
        </w:rPr>
        <w:t xml:space="preserve">covenants</w:t>
      </w:r>
      <w:r w:rsidDel="00000000" w:rsidR="00000000" w:rsidRPr="00000000">
        <w:rPr>
          <w:rtl w:val="0"/>
        </w:rPr>
        <w:t xml:space="preserve">, that the sale is made for fair market value, and that consideration consist of at least a minimum percentage of cash or cash equivalents. The general basket is generally also subject to an aggregate dollar cap or a cap tied to a grower percentage of a financial measure, such as total assets or EBITDA. </w:t>
      </w:r>
    </w:p>
    <w:p w:rsidR="00000000" w:rsidDel="00000000" w:rsidP="00000000" w:rsidRDefault="00000000" w:rsidRPr="00000000" w14:paraId="0000007A">
      <w:pPr>
        <w:pStyle w:val="Heading3"/>
        <w:spacing w:after="0" w:before="0" w:lineRule="auto"/>
        <w:rPr/>
      </w:pPr>
      <w:bookmarkStart w:colFirst="0" w:colLast="0" w:name="_x07gftu736d5" w:id="18"/>
      <w:bookmarkEnd w:id="18"/>
      <w:r w:rsidDel="00000000" w:rsidR="00000000" w:rsidRPr="00000000">
        <w:rPr>
          <w:rtl w:val="0"/>
        </w:rPr>
        <w:t xml:space="preserve">Restricted Payments</w:t>
      </w:r>
    </w:p>
    <w:p w:rsidR="00000000" w:rsidDel="00000000" w:rsidP="00000000" w:rsidRDefault="00000000" w:rsidRPr="00000000" w14:paraId="0000007B">
      <w:pPr>
        <w:rPr/>
      </w:pPr>
      <w:r w:rsidDel="00000000" w:rsidR="00000000" w:rsidRPr="00000000">
        <w:rPr>
          <w:rtl w:val="0"/>
        </w:rPr>
        <w:t xml:space="preserve">The restricted payments </w:t>
      </w:r>
      <w:r w:rsidDel="00000000" w:rsidR="00000000" w:rsidRPr="00000000">
        <w:rPr>
          <w:rtl w:val="0"/>
        </w:rPr>
        <w:t xml:space="preserve">covenant</w:t>
      </w:r>
      <w:r w:rsidDel="00000000" w:rsidR="00000000" w:rsidRPr="00000000">
        <w:rPr>
          <w:rtl w:val="0"/>
        </w:rPr>
        <w:t xml:space="preserve"> prohibits the borrower and its subsidiaries from distributing dividends and other distributions to equity holders, including sinking fund payments, repurchases of stock, and "phantom stock" payments, subject to certain negotiated exceptions. Restricted payments are perhaps the biggest area of focus for lenders because unlike the other transactions restricted by the negative </w:t>
      </w:r>
      <w:r w:rsidDel="00000000" w:rsidR="00000000" w:rsidRPr="00000000">
        <w:rPr>
          <w:rtl w:val="0"/>
        </w:rPr>
        <w:t xml:space="preserve">covenants</w:t>
      </w:r>
      <w:r w:rsidDel="00000000" w:rsidR="00000000" w:rsidRPr="00000000">
        <w:rPr>
          <w:rtl w:val="0"/>
        </w:rPr>
        <w:t xml:space="preserve">, the borrower is unlikely to receive any value in return for sending dividends out to their shareholders that will benefit the lenders. Lenders carefully negotiate the size of each basket because they generally view all dividend capacity as potential lost loan repayment and collateral value. </w:t>
      </w:r>
    </w:p>
    <w:p w:rsidR="00000000" w:rsidDel="00000000" w:rsidP="00000000" w:rsidRDefault="00000000" w:rsidRPr="00000000" w14:paraId="0000007C">
      <w:pPr>
        <w:rPr/>
      </w:pPr>
      <w:r w:rsidDel="00000000" w:rsidR="00000000" w:rsidRPr="00000000">
        <w:rPr>
          <w:rtl w:val="0"/>
        </w:rPr>
        <w:t xml:space="preserve">There are restricted payments that do not represent that same leakage risk and are often included as unlimited carve-outs, but all others are generally capped. Examples of common baskets are listed below: </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4.7945205479446"/>
        <w:gridCol w:w="6165.205479452054"/>
        <w:tblGridChange w:id="0">
          <w:tblGrid>
            <w:gridCol w:w="3194.7945205479446"/>
            <w:gridCol w:w="6165.205479452054"/>
          </w:tblGrid>
        </w:tblGridChange>
      </w:tblGrid>
      <w:tr>
        <w:trPr>
          <w:cantSplit w:val="0"/>
          <w:trHeight w:val="11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D">
            <w:pPr>
              <w:rPr>
                <w:rFonts w:ascii="Arial" w:cs="Arial" w:eastAsia="Arial" w:hAnsi="Arial"/>
                <w:b w:val="1"/>
                <w:bCs w:val="1"/>
              </w:rPr>
            </w:pPr>
            <w:r w:rsidDel="00000000" w:rsidR="00000000" w:rsidRPr="00000000">
              <w:rPr>
                <w:rFonts w:ascii="Arial" w:cs="Arial" w:eastAsia="Arial" w:hAnsi="Arial"/>
                <w:b w:val="1"/>
                <w:bCs w:val="1"/>
                <w:rtl w:val="0"/>
              </w:rPr>
              <w:t xml:space="preserve">Unlimited Baskets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E">
            <w:pPr>
              <w:rPr>
                <w:rFonts w:ascii="Arial" w:cs="Arial" w:eastAsia="Arial" w:hAnsi="Arial"/>
                <w:b w:val="1"/>
                <w:bCs w:val="1"/>
              </w:rPr>
            </w:pPr>
            <w:r w:rsidDel="00000000" w:rsidR="00000000" w:rsidRPr="00000000">
              <w:rPr>
                <w:rFonts w:ascii="Arial" w:cs="Arial" w:eastAsia="Arial" w:hAnsi="Arial"/>
                <w:b w:val="1"/>
                <w:bCs w:val="1"/>
                <w:rtl w:val="0"/>
              </w:rPr>
              <w:t xml:space="preserve">Capped or Limited Baskets</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7F">
            <w:pPr>
              <w:rPr>
                <w:rFonts w:ascii="Arial" w:cs="Arial" w:eastAsia="Arial" w:hAnsi="Arial"/>
                <w:color w:val="333333"/>
              </w:rPr>
            </w:pPr>
            <w:r w:rsidDel="00000000" w:rsidR="00000000" w:rsidRPr="00000000">
              <w:rPr>
                <w:rFonts w:ascii="Arial" w:cs="Arial" w:eastAsia="Arial" w:hAnsi="Arial"/>
                <w:color w:val="333333"/>
                <w:rtl w:val="0"/>
              </w:rPr>
              <w:t xml:space="preserve">Dividends and other distributions payable solely with qualified equity</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0">
            <w:pPr>
              <w:rPr>
                <w:rFonts w:ascii="Arial" w:cs="Arial" w:eastAsia="Arial" w:hAnsi="Arial"/>
                <w:color w:val="333333"/>
              </w:rPr>
            </w:pPr>
            <w:r w:rsidDel="00000000" w:rsidR="00000000" w:rsidRPr="00000000">
              <w:rPr>
                <w:rFonts w:ascii="Arial" w:cs="Arial" w:eastAsia="Arial" w:hAnsi="Arial"/>
                <w:color w:val="333333"/>
                <w:rtl w:val="0"/>
              </w:rPr>
              <w:t xml:space="preserve">Repurchase of equity interests from employees, subject to an annual cap with rollovers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1">
            <w:pPr>
              <w:rPr>
                <w:rFonts w:ascii="Arial" w:cs="Arial" w:eastAsia="Arial" w:hAnsi="Arial"/>
                <w:color w:val="333333"/>
              </w:rPr>
            </w:pPr>
            <w:r w:rsidDel="00000000" w:rsidR="00000000" w:rsidRPr="00000000">
              <w:rPr>
                <w:rFonts w:ascii="Arial" w:cs="Arial" w:eastAsia="Arial" w:hAnsi="Arial"/>
                <w:color w:val="333333"/>
                <w:rtl w:val="0"/>
              </w:rPr>
              <w:t xml:space="preserve">Restricted Payments made by subsidiaries to borrower, other subsidiaries and to third-party equity holders pro rata to equity interests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2">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reasonable and customary operating expenses in the ordinary course of business and related to holding equity of borrower</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3">
            <w:pPr>
              <w:rPr>
                <w:rFonts w:ascii="Arial" w:cs="Arial" w:eastAsia="Arial" w:hAnsi="Arial"/>
                <w:color w:val="333333"/>
              </w:rPr>
            </w:pPr>
            <w:r w:rsidDel="00000000" w:rsidR="00000000" w:rsidRPr="00000000">
              <w:rPr>
                <w:rFonts w:ascii="Arial" w:cs="Arial" w:eastAsia="Arial" w:hAnsi="Arial"/>
                <w:color w:val="333333"/>
                <w:rtl w:val="0"/>
              </w:rPr>
              <w:t xml:space="preserve">Restricted Payments constituting investments permitted by investment </w:t>
            </w:r>
            <w:r w:rsidDel="00000000" w:rsidR="00000000" w:rsidRPr="00000000">
              <w:rPr>
                <w:rFonts w:ascii="Arial" w:cs="Arial" w:eastAsia="Arial" w:hAnsi="Arial"/>
                <w:color w:val="333333"/>
                <w:rtl w:val="0"/>
              </w:rPr>
              <w:t xml:space="preserve">covenant</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4">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to consummate permitted acquisitions, subject to cap on permitted acquisitions</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5">
            <w:pPr>
              <w:rPr>
                <w:rFonts w:ascii="Arial" w:cs="Arial" w:eastAsia="Arial" w:hAnsi="Arial"/>
                <w:color w:val="333333"/>
              </w:rPr>
            </w:pPr>
            <w:r w:rsidDel="00000000" w:rsidR="00000000" w:rsidRPr="00000000">
              <w:rPr>
                <w:rFonts w:ascii="Arial" w:cs="Arial" w:eastAsia="Arial" w:hAnsi="Arial"/>
                <w:color w:val="333333"/>
                <w:rtl w:val="0"/>
              </w:rPr>
              <w:t xml:space="preserve">Exercise of stock options and warrants to the extent exercise price paid with equity</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6">
            <w:pPr>
              <w:rPr>
                <w:rFonts w:ascii="Arial" w:cs="Arial" w:eastAsia="Arial" w:hAnsi="Arial"/>
                <w:color w:val="333333"/>
              </w:rPr>
            </w:pPr>
            <w:r w:rsidDel="00000000" w:rsidR="00000000" w:rsidRPr="00000000">
              <w:rPr>
                <w:rFonts w:ascii="Arial" w:cs="Arial" w:eastAsia="Arial" w:hAnsi="Arial"/>
                <w:color w:val="333333"/>
                <w:rtl w:val="0"/>
              </w:rPr>
              <w:t xml:space="preserve">Dividends payable by borrower to public shareholders, subject to an annual cap</w:t>
            </w:r>
          </w:p>
        </w:tc>
      </w:tr>
      <w:tr>
        <w:trPr>
          <w:cantSplit w:val="0"/>
          <w:trHeight w:val="14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7">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taxes and franchise taxes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8">
            <w:pPr>
              <w:rPr>
                <w:rFonts w:ascii="Arial" w:cs="Arial" w:eastAsia="Arial" w:hAnsi="Arial"/>
                <w:color w:val="333333"/>
              </w:rPr>
            </w:pPr>
            <w:r w:rsidDel="00000000" w:rsidR="00000000" w:rsidRPr="00000000">
              <w:rPr>
                <w:rFonts w:ascii="Arial" w:cs="Arial" w:eastAsia="Arial" w:hAnsi="Arial"/>
                <w:color w:val="333333"/>
                <w:rtl w:val="0"/>
              </w:rPr>
              <w:t xml:space="preserve">Payments pursuant to shareholder rights plans in connection with takeover defenses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9">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fees and expenses of permitted unsuccessful securities offerings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A">
            <w:pPr>
              <w:rPr>
                <w:rFonts w:ascii="Arial" w:cs="Arial" w:eastAsia="Arial" w:hAnsi="Arial"/>
                <w:color w:val="333333"/>
              </w:rPr>
            </w:pPr>
            <w:r w:rsidDel="00000000" w:rsidR="00000000" w:rsidRPr="00000000">
              <w:rPr>
                <w:rFonts w:ascii="Arial" w:cs="Arial" w:eastAsia="Arial" w:hAnsi="Arial"/>
                <w:color w:val="333333"/>
                <w:rtl w:val="0"/>
              </w:rPr>
              <w:t xml:space="preserve">Redemption/repayment of subordinated debt constituting restricted payments with proceeds of asset sales</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B">
            <w:pPr>
              <w:rPr>
                <w:rFonts w:ascii="Arial" w:cs="Arial" w:eastAsia="Arial" w:hAnsi="Arial"/>
                <w:color w:val="333333"/>
              </w:rPr>
            </w:pPr>
            <w:r w:rsidDel="00000000" w:rsidR="00000000" w:rsidRPr="00000000">
              <w:rPr>
                <w:rFonts w:ascii="Arial" w:cs="Arial" w:eastAsia="Arial" w:hAnsi="Arial"/>
                <w:color w:val="333333"/>
                <w:rtl w:val="0"/>
              </w:rPr>
              <w:t xml:space="preserve">Payments to holding company for employee salaries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C">
            <w:pPr>
              <w:rPr>
                <w:rFonts w:ascii="Arial" w:cs="Arial" w:eastAsia="Arial" w:hAnsi="Arial"/>
                <w:color w:val="333333"/>
              </w:rPr>
            </w:pPr>
            <w:r w:rsidDel="00000000" w:rsidR="00000000" w:rsidRPr="00000000">
              <w:rPr>
                <w:rFonts w:ascii="Arial" w:cs="Arial" w:eastAsia="Arial" w:hAnsi="Arial"/>
                <w:color w:val="333333"/>
                <w:rtl w:val="0"/>
              </w:rPr>
              <w:t xml:space="preserve">Dividends after a permitted initial public offering of a parent entity of the borrower to pay for listing fees and costs and expenses attributable to being a public company and a percentage per year of the proceeds received from the IPO by the loan group</w:t>
            </w:r>
          </w:p>
        </w:tc>
      </w:tr>
      <w:tr>
        <w:trPr>
          <w:cantSplit w:val="0"/>
          <w:trHeight w:val="178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D">
            <w:pPr>
              <w:rPr>
                <w:rFonts w:ascii="Arial" w:cs="Arial" w:eastAsia="Arial" w:hAnsi="Arial"/>
                <w:color w:val="333333"/>
              </w:rPr>
            </w:pPr>
            <w:r w:rsidDel="00000000" w:rsidR="00000000" w:rsidRPr="00000000">
              <w:rPr>
                <w:rFonts w:ascii="Arial" w:cs="Arial" w:eastAsia="Arial" w:hAnsi="Arial"/>
                <w:color w:val="333333"/>
                <w:rtl w:val="0"/>
              </w:rPr>
              <w:t xml:space="preserve">Payments of fractional equity interests in connection with declared dividends</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8E">
            <w:pPr>
              <w:rPr>
                <w:rFonts w:ascii="Arial" w:cs="Arial" w:eastAsia="Arial" w:hAnsi="Arial"/>
                <w:color w:val="333333"/>
              </w:rPr>
            </w:pPr>
            <w:r w:rsidDel="00000000" w:rsidR="00000000" w:rsidRPr="00000000">
              <w:rPr>
                <w:rFonts w:ascii="Arial" w:cs="Arial" w:eastAsia="Arial" w:hAnsi="Arial"/>
                <w:color w:val="333333"/>
                <w:rtl w:val="0"/>
              </w:rPr>
              <w:t xml:space="preserve">General basket capped at a flat amount or a grower percentage of a financial measure, such as total assets or EBITDA, subject to increase by a builder basket or available amount, usually subject to no default and compliance with a negotiated financial ratio test</w:t>
            </w:r>
          </w:p>
        </w:tc>
      </w:tr>
      <w:tr>
        <w:trPr>
          <w:cantSplit w:val="0"/>
          <w:trHeight w:val="1770" w:hRule="atLeast"/>
          <w:tblHeader w:val="0"/>
        </w:trPr>
        <w:tc>
          <w:tcPr>
            <w:tcBorders>
              <w:top w:color="000000" w:space="0" w:sz="0" w:val="nil"/>
              <w:left w:color="000000" w:space="0" w:sz="0" w:val="nil"/>
              <w:bottom w:color="000000" w:space="0" w:sz="0" w:val="nil"/>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8F">
            <w:pPr>
              <w:rPr>
                <w:rFonts w:ascii="Arial" w:cs="Arial" w:eastAsia="Arial" w:hAnsi="Arial"/>
                <w:color w:val="333333"/>
              </w:rPr>
            </w:pPr>
            <w:r w:rsidDel="00000000" w:rsidR="00000000" w:rsidRPr="00000000">
              <w:rPr>
                <w:rFonts w:ascii="Arial" w:cs="Arial" w:eastAsia="Arial" w:hAnsi="Arial"/>
                <w:color w:val="333333"/>
                <w:rtl w:val="0"/>
              </w:rPr>
              <w:t xml:space="preserve">Redemption/repayment of debt constituting restricted payments, with proceeds of permitted refinancing debt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90">
            <w:pPr>
              <w:rPr>
                <w:rFonts w:ascii="Arial" w:cs="Arial" w:eastAsia="Arial" w:hAnsi="Arial"/>
                <w:color w:val="333333"/>
              </w:rPr>
            </w:pPr>
            <w:r w:rsidDel="00000000" w:rsidR="00000000" w:rsidRPr="00000000">
              <w:rPr>
                <w:rFonts w:ascii="Arial" w:cs="Arial" w:eastAsia="Arial" w:hAnsi="Arial"/>
                <w:color w:val="333333"/>
                <w:rtl w:val="0"/>
              </w:rPr>
              <w:t xml:space="preserve">General basket limited only by absence of default and compliance with a financial ratio after giving effect to the restricted payment</w:t>
            </w:r>
          </w:p>
        </w:tc>
      </w:tr>
    </w:tbl>
    <w:p w:rsidR="00000000" w:rsidDel="00000000" w:rsidP="00000000" w:rsidRDefault="00000000" w:rsidRPr="00000000" w14:paraId="00000091">
      <w:pPr>
        <w:pStyle w:val="Heading3"/>
        <w:spacing w:after="0" w:before="0" w:lineRule="auto"/>
        <w:rPr/>
      </w:pPr>
      <w:bookmarkStart w:colFirst="0" w:colLast="0" w:name="_g4d4bbamawzn" w:id="19"/>
      <w:bookmarkEnd w:id="19"/>
      <w:r w:rsidDel="00000000" w:rsidR="00000000" w:rsidRPr="00000000">
        <w:rPr>
          <w:rtl w:val="0"/>
        </w:rPr>
        <w:t xml:space="preserve">Restrictions on Transactions with Affiliates</w:t>
      </w:r>
    </w:p>
    <w:p w:rsidR="00000000" w:rsidDel="00000000" w:rsidP="00000000" w:rsidRDefault="00000000" w:rsidRPr="00000000" w14:paraId="00000092">
      <w:pPr>
        <w:rPr/>
      </w:pPr>
      <w:r w:rsidDel="00000000" w:rsidR="00000000" w:rsidRPr="00000000">
        <w:rPr>
          <w:rtl w:val="0"/>
        </w:rPr>
        <w:t xml:space="preserve">The transactions with affiliates negative </w:t>
      </w:r>
      <w:r w:rsidDel="00000000" w:rsidR="00000000" w:rsidRPr="00000000">
        <w:rPr>
          <w:rtl w:val="0"/>
        </w:rPr>
        <w:t xml:space="preserve">covenant</w:t>
      </w:r>
      <w:r w:rsidDel="00000000" w:rsidR="00000000" w:rsidRPr="00000000">
        <w:rPr>
          <w:rtl w:val="0"/>
        </w:rPr>
        <w:t xml:space="preserve"> prohibits transactions between the borrower and its affiliates on terms that are less favorable than would be reasonably achieved in an arm's length transaction with an unrelated third-party, with certain negotiated exceptions. The term "affiliate" is usually broadly defined to include any entity that is under the control of the borrower or a parent of the borrower (which includes all of the borrower's subsidiaries), under common control with the borrower (such as a sister company, or its subsidiaries), or controls the borrower. Lenders want to avoid a situation where the borrower makes a sweet-heart deal with a non-loan party affiliate, allowing value to escape the loan group without a reasonable amount of value being received in return. </w:t>
      </w:r>
    </w:p>
    <w:p w:rsidR="00000000" w:rsidDel="00000000" w:rsidP="00000000" w:rsidRDefault="00000000" w:rsidRPr="00000000" w14:paraId="00000093">
      <w:pPr>
        <w:rPr/>
      </w:pPr>
      <w:r w:rsidDel="00000000" w:rsidR="00000000" w:rsidRPr="00000000">
        <w:rPr>
          <w:rtl w:val="0"/>
        </w:rPr>
        <w:t xml:space="preserve">Given the uncertainty of what constitutes an arm's length transaction, borrowers will want to ensure that the carve-outs to this negative </w:t>
      </w:r>
      <w:r w:rsidDel="00000000" w:rsidR="00000000" w:rsidRPr="00000000">
        <w:rPr>
          <w:rtl w:val="0"/>
        </w:rPr>
        <w:t xml:space="preserve">covenant</w:t>
      </w:r>
      <w:r w:rsidDel="00000000" w:rsidR="00000000" w:rsidRPr="00000000">
        <w:rPr>
          <w:rtl w:val="0"/>
        </w:rPr>
        <w:t xml:space="preserve"> reflect transactions that do not raise the same leakage risk. Generally intercompany transactions among loan parties are permitted as well as the closing transactions consummated along with the closing of the credit facilities. It is also important that the exceptions permit the borrower's employee and executive compensation and reimbursement program, including any ordinary course advances to employees. Customarily there are also carve-outs for any restricted payments and certain other intercompany transactions that are permitted under the negative </w:t>
      </w:r>
      <w:r w:rsidDel="00000000" w:rsidR="00000000" w:rsidRPr="00000000">
        <w:rPr>
          <w:rtl w:val="0"/>
        </w:rPr>
        <w:t xml:space="preserve">covenants</w:t>
      </w: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For borrowers owned by private equity sponsors, this </w:t>
      </w:r>
      <w:r w:rsidDel="00000000" w:rsidR="00000000" w:rsidRPr="00000000">
        <w:rPr>
          <w:rtl w:val="0"/>
        </w:rPr>
        <w:t xml:space="preserve">covenant</w:t>
      </w:r>
      <w:r w:rsidDel="00000000" w:rsidR="00000000" w:rsidRPr="00000000">
        <w:rPr>
          <w:rtl w:val="0"/>
        </w:rPr>
        <w:t xml:space="preserve"> will need to account for their management relationships. Sponsors are often paid a management or consulting fee, which is generally carved out of this negative </w:t>
      </w:r>
      <w:r w:rsidDel="00000000" w:rsidR="00000000" w:rsidRPr="00000000">
        <w:rPr>
          <w:rtl w:val="0"/>
        </w:rPr>
        <w:t xml:space="preserve">covenant</w:t>
      </w:r>
      <w:r w:rsidDel="00000000" w:rsidR="00000000" w:rsidRPr="00000000">
        <w:rPr>
          <w:rtl w:val="0"/>
        </w:rPr>
        <w:t xml:space="preserve">. Lenders will often want to review the management agreement to understand what the possible payments will be and include a cap to prevent the payments from being increased in the future. </w:t>
      </w:r>
    </w:p>
    <w:p w:rsidR="00000000" w:rsidDel="00000000" w:rsidP="00000000" w:rsidRDefault="00000000" w:rsidRPr="00000000" w14:paraId="00000095">
      <w:pPr>
        <w:pStyle w:val="Heading3"/>
        <w:spacing w:after="0" w:before="0" w:lineRule="auto"/>
        <w:rPr/>
      </w:pPr>
      <w:bookmarkStart w:colFirst="0" w:colLast="0" w:name="_65f596ar92a6" w:id="20"/>
      <w:bookmarkEnd w:id="20"/>
      <w:r w:rsidDel="00000000" w:rsidR="00000000" w:rsidRPr="00000000">
        <w:rPr>
          <w:rtl w:val="0"/>
        </w:rPr>
        <w:t xml:space="preserve">Restrictions on Prepayments of Other Indebtedness</w:t>
      </w:r>
    </w:p>
    <w:p w:rsidR="00000000" w:rsidDel="00000000" w:rsidP="00000000" w:rsidRDefault="00000000" w:rsidRPr="00000000" w14:paraId="00000096">
      <w:pPr>
        <w:rPr/>
      </w:pPr>
      <w:r w:rsidDel="00000000" w:rsidR="00000000" w:rsidRPr="00000000">
        <w:rPr>
          <w:rtl w:val="0"/>
        </w:rPr>
        <w:t xml:space="preserve">The prepayments of other indebtedness negative </w:t>
      </w:r>
      <w:r w:rsidDel="00000000" w:rsidR="00000000" w:rsidRPr="00000000">
        <w:rPr>
          <w:rtl w:val="0"/>
        </w:rPr>
        <w:t xml:space="preserve">covenant</w:t>
      </w:r>
      <w:r w:rsidDel="00000000" w:rsidR="00000000" w:rsidRPr="00000000">
        <w:rPr>
          <w:rtl w:val="0"/>
        </w:rPr>
        <w:t xml:space="preserve"> prohibits the prepayment, repurchase, or redemption of the borrower's and its subsidiaries' notes or loan indebtedness, other than the credit facilities, with certain negotiated exceptions. Even where the other indebtedness is subject to an intercreditor agreement or subordination agreement that specifically governs such prepayments or redemptions, lenders will require this negative </w:t>
      </w:r>
      <w:r w:rsidDel="00000000" w:rsidR="00000000" w:rsidRPr="00000000">
        <w:rPr>
          <w:rtl w:val="0"/>
        </w:rPr>
        <w:t xml:space="preserve">covenant</w:t>
      </w:r>
      <w:r w:rsidDel="00000000" w:rsidR="00000000" w:rsidRPr="00000000">
        <w:rPr>
          <w:rtl w:val="0"/>
        </w:rPr>
        <w:t xml:space="preserve"> to reduce the opportunity for the borrower to pay down other indebtedness ahead of the credit facilities. </w:t>
      </w:r>
    </w:p>
    <w:p w:rsidR="00000000" w:rsidDel="00000000" w:rsidP="00000000" w:rsidRDefault="00000000" w:rsidRPr="00000000" w14:paraId="00000097">
      <w:pPr>
        <w:rPr/>
      </w:pPr>
      <w:r w:rsidDel="00000000" w:rsidR="00000000" w:rsidRPr="00000000">
        <w:rPr>
          <w:rtl w:val="0"/>
        </w:rPr>
        <w:t xml:space="preserve">The exceptions to this negative </w:t>
      </w:r>
      <w:r w:rsidDel="00000000" w:rsidR="00000000" w:rsidRPr="00000000">
        <w:rPr>
          <w:rtl w:val="0"/>
        </w:rPr>
        <w:t xml:space="preserve">covenant</w:t>
      </w:r>
      <w:r w:rsidDel="00000000" w:rsidR="00000000" w:rsidRPr="00000000">
        <w:rPr>
          <w:rtl w:val="0"/>
        </w:rPr>
        <w:t xml:space="preserve"> are often deal-specific based on the borrower's capital structure. Sometimes a simple general basket is included subject to a requirement that any prepayment not violate applicable intercreditor or subordination arrangements. In transactions that include an available amount or builder basket provision, it is customary to allow that pooled availability to be used to prepay other indebtedness, subject to no default and compliance with a negotiated financial ratio test. This negative </w:t>
      </w:r>
      <w:r w:rsidDel="00000000" w:rsidR="00000000" w:rsidRPr="00000000">
        <w:rPr>
          <w:rtl w:val="0"/>
        </w:rPr>
        <w:t xml:space="preserve">covenant</w:t>
      </w:r>
      <w:r w:rsidDel="00000000" w:rsidR="00000000" w:rsidRPr="00000000">
        <w:rPr>
          <w:rtl w:val="0"/>
        </w:rPr>
        <w:t xml:space="preserve"> often also restricts amendments or modification of such other indebtedness that would be materially adverse to the lenders. </w:t>
      </w:r>
    </w:p>
    <w:p w:rsidR="00000000" w:rsidDel="00000000" w:rsidP="00000000" w:rsidRDefault="00000000" w:rsidRPr="00000000" w14:paraId="00000098">
      <w:pPr>
        <w:pStyle w:val="Heading3"/>
        <w:spacing w:after="0" w:before="0" w:lineRule="auto"/>
        <w:rPr/>
      </w:pPr>
      <w:bookmarkStart w:colFirst="0" w:colLast="0" w:name="_tqqz5rmorxa5" w:id="21"/>
      <w:bookmarkEnd w:id="21"/>
      <w:r w:rsidDel="00000000" w:rsidR="00000000" w:rsidRPr="00000000">
        <w:rPr>
          <w:rtl w:val="0"/>
        </w:rPr>
        <w:t xml:space="preserve">Restrictions on the Issuance of Capital Stock</w:t>
      </w:r>
    </w:p>
    <w:p w:rsidR="00000000" w:rsidDel="00000000" w:rsidP="00000000" w:rsidRDefault="00000000" w:rsidRPr="00000000" w14:paraId="00000099">
      <w:pPr>
        <w:rPr/>
      </w:pPr>
      <w:r w:rsidDel="00000000" w:rsidR="00000000" w:rsidRPr="00000000">
        <w:rPr>
          <w:rtl w:val="0"/>
        </w:rPr>
        <w:t xml:space="preserve">This </w:t>
      </w:r>
      <w:r w:rsidDel="00000000" w:rsidR="00000000" w:rsidRPr="00000000">
        <w:rPr>
          <w:rtl w:val="0"/>
        </w:rPr>
        <w:t xml:space="preserve">covenant</w:t>
      </w:r>
      <w:r w:rsidDel="00000000" w:rsidR="00000000" w:rsidRPr="00000000">
        <w:rPr>
          <w:rtl w:val="0"/>
        </w:rPr>
        <w:t xml:space="preserve"> limits the ability of the loan parties to issue disqualified equity. Disqualified equity is traditionally defined as equity with mandatory redemption features or that matures prior to, or a short period after, the loans. The redemption of disqualified equity prior to maturity of the credit facilities would be leakage from the credit and makes such disqualified equity effectively senior to the credit facilities. Lenders traditionally limit or prohibit the issuance of disqualified equity as well as dividends and other distributions on disqualified equity. In most transaction, borrowers will have to use the general restricted payment basket to </w:t>
      </w:r>
      <w:r w:rsidDel="00000000" w:rsidR="00000000" w:rsidRPr="00000000">
        <w:rPr>
          <w:rtl w:val="0"/>
        </w:rPr>
        <w:t xml:space="preserve">accommodate any distribution in respect of disqualified equity. </w:t>
      </w:r>
    </w:p>
    <w:p w:rsidR="00000000" w:rsidDel="00000000" w:rsidP="00000000" w:rsidRDefault="00000000" w:rsidRPr="00000000" w14:paraId="0000009A">
      <w:pPr>
        <w:pStyle w:val="Heading3"/>
        <w:spacing w:after="0" w:before="0" w:lineRule="auto"/>
        <w:rPr/>
      </w:pPr>
      <w:bookmarkStart w:colFirst="0" w:colLast="0" w:name="_8rjynjbebva9" w:id="22"/>
      <w:bookmarkEnd w:id="22"/>
      <w:r w:rsidDel="00000000" w:rsidR="00000000" w:rsidRPr="00000000">
        <w:rPr>
          <w:rtl w:val="0"/>
        </w:rPr>
        <w:t xml:space="preserve">Restrictions on Burdensome Agreements</w:t>
      </w:r>
    </w:p>
    <w:p w:rsidR="00000000" w:rsidDel="00000000" w:rsidP="00000000" w:rsidRDefault="00000000" w:rsidRPr="00000000" w14:paraId="0000009B">
      <w:pPr>
        <w:rPr/>
      </w:pPr>
      <w:r w:rsidDel="00000000" w:rsidR="00000000" w:rsidRPr="00000000">
        <w:rPr>
          <w:rtl w:val="0"/>
        </w:rPr>
        <w:t xml:space="preserve">The burdensome agreements negative </w:t>
      </w:r>
      <w:r w:rsidDel="00000000" w:rsidR="00000000" w:rsidRPr="00000000">
        <w:rPr>
          <w:rtl w:val="0"/>
        </w:rPr>
        <w:t xml:space="preserve">covenant</w:t>
      </w:r>
      <w:r w:rsidDel="00000000" w:rsidR="00000000" w:rsidRPr="00000000">
        <w:rPr>
          <w:rtl w:val="0"/>
        </w:rPr>
        <w:t xml:space="preserve"> (sometimes referred to as the no further negative pledge negative </w:t>
      </w:r>
      <w:r w:rsidDel="00000000" w:rsidR="00000000" w:rsidRPr="00000000">
        <w:rPr>
          <w:rtl w:val="0"/>
        </w:rPr>
        <w:t xml:space="preserve">covenant</w:t>
      </w:r>
      <w:r w:rsidDel="00000000" w:rsidR="00000000" w:rsidRPr="00000000">
        <w:rPr>
          <w:rtl w:val="0"/>
        </w:rPr>
        <w:t xml:space="preserve">) prohibits the loan parties from entering into other agreements that restrict the payments of dividends, prepayment of debt, creation of liens, and intercompany investments (including loans and asset transfers). Lenders want to maximize the revenue and assets included in the credit and do not want the borrower entering into other agreements that would block repayment of the credit facilities or foreclosure on the borrower's assets. Usually borrowers will require carve-outs including existing contracts and ordinary course transactions such as purchase money obligations, licenses, and capital leases, in each case limited to the relevant asset. </w:t>
      </w:r>
    </w:p>
    <w:p w:rsidR="00000000" w:rsidDel="00000000" w:rsidP="00000000" w:rsidRDefault="00000000" w:rsidRPr="00000000" w14:paraId="0000009C">
      <w:pPr>
        <w:pStyle w:val="Heading3"/>
        <w:spacing w:after="0" w:before="0" w:lineRule="auto"/>
        <w:rPr/>
      </w:pPr>
      <w:bookmarkStart w:colFirst="0" w:colLast="0" w:name="_otwi8dj6tdu5" w:id="23"/>
      <w:bookmarkEnd w:id="23"/>
      <w:r w:rsidDel="00000000" w:rsidR="00000000" w:rsidRPr="00000000">
        <w:rPr>
          <w:rtl w:val="0"/>
        </w:rPr>
        <w:t xml:space="preserve">Restriction on Changes to Accounting Practices, Fiscal Year, and Business</w:t>
      </w:r>
    </w:p>
    <w:p w:rsidR="00000000" w:rsidDel="00000000" w:rsidP="00000000" w:rsidRDefault="00000000" w:rsidRPr="00000000" w14:paraId="0000009D">
      <w:pPr>
        <w:rPr/>
      </w:pPr>
      <w:r w:rsidDel="00000000" w:rsidR="00000000" w:rsidRPr="00000000">
        <w:rPr>
          <w:rtl w:val="0"/>
        </w:rPr>
        <w:t xml:space="preserve">This negative </w:t>
      </w:r>
      <w:r w:rsidDel="00000000" w:rsidR="00000000" w:rsidRPr="00000000">
        <w:rPr>
          <w:rtl w:val="0"/>
        </w:rPr>
        <w:t xml:space="preserve">covenant</w:t>
      </w:r>
      <w:r w:rsidDel="00000000" w:rsidR="00000000" w:rsidRPr="00000000">
        <w:rPr>
          <w:rtl w:val="0"/>
        </w:rPr>
        <w:t xml:space="preserve">, or set of separate negative </w:t>
      </w:r>
      <w:r w:rsidDel="00000000" w:rsidR="00000000" w:rsidRPr="00000000">
        <w:rPr>
          <w:rtl w:val="0"/>
        </w:rPr>
        <w:t xml:space="preserve">covenants</w:t>
      </w:r>
      <w:r w:rsidDel="00000000" w:rsidR="00000000" w:rsidRPr="00000000">
        <w:rPr>
          <w:rtl w:val="0"/>
        </w:rPr>
        <w:t xml:space="preserve">, prohibits several changes to the borrower's business operations. The loan parties are typically restricted from changing their fiscal years and accounting standards and treatment, with exceptions for changes consented to by the required lenders or as required by generally accepted accounting principles. Lenders worry that the borrower could shift its accounting periods or interpretations to artificially satisfy financial </w:t>
      </w:r>
      <w:r w:rsidDel="00000000" w:rsidR="00000000" w:rsidRPr="00000000">
        <w:rPr>
          <w:rtl w:val="0"/>
        </w:rPr>
        <w:t xml:space="preserve">covenants</w:t>
      </w:r>
      <w:r w:rsidDel="00000000" w:rsidR="00000000" w:rsidRPr="00000000">
        <w:rPr>
          <w:rtl w:val="0"/>
        </w:rPr>
        <w:t xml:space="preserve"> or incurrence tests that it would otherwise be in breach of. These negative </w:t>
      </w:r>
      <w:r w:rsidDel="00000000" w:rsidR="00000000" w:rsidRPr="00000000">
        <w:rPr>
          <w:rtl w:val="0"/>
        </w:rPr>
        <w:t xml:space="preserve">covenants</w:t>
      </w:r>
      <w:r w:rsidDel="00000000" w:rsidR="00000000" w:rsidRPr="00000000">
        <w:rPr>
          <w:rtl w:val="0"/>
        </w:rPr>
        <w:t xml:space="preserve"> also generally include a prohibition on the company engaging in any line of business other than the business conducted on the closing date of the credit facilities, as well as any related, incidental, or ancillary operations. Although the borrower and lenders can agree to create significant flexibility in the carve-outs to the negative </w:t>
      </w:r>
      <w:r w:rsidDel="00000000" w:rsidR="00000000" w:rsidRPr="00000000">
        <w:rPr>
          <w:rtl w:val="0"/>
        </w:rPr>
        <w:t xml:space="preserve">covenants</w:t>
      </w:r>
      <w:r w:rsidDel="00000000" w:rsidR="00000000" w:rsidRPr="00000000">
        <w:rPr>
          <w:rtl w:val="0"/>
        </w:rPr>
        <w:t xml:space="preserve">, the lenders still want to ensure that the company they agree to lend to is the same company that will be paying them back. </w:t>
      </w:r>
    </w:p>
    <w:p w:rsidR="00000000" w:rsidDel="00000000" w:rsidP="00000000" w:rsidRDefault="00000000" w:rsidRPr="00000000" w14:paraId="0000009E">
      <w:pPr>
        <w:pStyle w:val="Heading3"/>
        <w:spacing w:after="0" w:before="0" w:lineRule="auto"/>
        <w:rPr/>
      </w:pPr>
      <w:bookmarkStart w:colFirst="0" w:colLast="0" w:name="_qok1y8lnzt21" w:id="24"/>
      <w:bookmarkEnd w:id="24"/>
      <w:r w:rsidDel="00000000" w:rsidR="00000000" w:rsidRPr="00000000">
        <w:rPr>
          <w:rtl w:val="0"/>
        </w:rPr>
        <w:t xml:space="preserve">Restrictions on Holdings</w:t>
      </w:r>
    </w:p>
    <w:p w:rsidR="00000000" w:rsidDel="00000000" w:rsidP="00000000" w:rsidRDefault="00000000" w:rsidRPr="00000000" w14:paraId="0000009F">
      <w:pPr>
        <w:rPr/>
      </w:pPr>
      <w:r w:rsidDel="00000000" w:rsidR="00000000" w:rsidRPr="00000000">
        <w:rPr>
          <w:rtl w:val="0"/>
        </w:rPr>
        <w:t xml:space="preserve">The restrictions on holdings negative </w:t>
      </w:r>
      <w:r w:rsidDel="00000000" w:rsidR="00000000" w:rsidRPr="00000000">
        <w:rPr>
          <w:rtl w:val="0"/>
        </w:rPr>
        <w:t xml:space="preserve">covenant</w:t>
      </w:r>
      <w:r w:rsidDel="00000000" w:rsidR="00000000" w:rsidRPr="00000000">
        <w:rPr>
          <w:rtl w:val="0"/>
        </w:rPr>
        <w:t xml:space="preserve"> (also referred to as the passive holding company negative </w:t>
      </w:r>
      <w:r w:rsidDel="00000000" w:rsidR="00000000" w:rsidRPr="00000000">
        <w:rPr>
          <w:rtl w:val="0"/>
        </w:rPr>
        <w:t xml:space="preserve">covenant</w:t>
      </w:r>
      <w:r w:rsidDel="00000000" w:rsidR="00000000" w:rsidRPr="00000000">
        <w:rPr>
          <w:rtl w:val="0"/>
        </w:rPr>
        <w:t xml:space="preserve">) prohibits the borrower's direct parent entity from conducting general business operations, with certain negotiated exceptions. In many financing transactions, and practically all private equity style transactions, a shell holding company is placed above the borrower in the company's corporate structure to act as a buffer between the loan group and any other affiliated operations. The holdings entity is also necessary to provide the lenders with a pledge of the borrower's equity. Lenders also require this negative </w:t>
      </w:r>
      <w:r w:rsidDel="00000000" w:rsidR="00000000" w:rsidRPr="00000000">
        <w:rPr>
          <w:rtl w:val="0"/>
        </w:rPr>
        <w:t xml:space="preserve">covenant</w:t>
      </w:r>
      <w:r w:rsidDel="00000000" w:rsidR="00000000" w:rsidRPr="00000000">
        <w:rPr>
          <w:rtl w:val="0"/>
        </w:rPr>
        <w:t xml:space="preserve"> for assurance that the borrower will not conduct operations at the holding company level to evade the restrictions in the loan documents. </w:t>
      </w:r>
    </w:p>
    <w:p w:rsidR="00000000" w:rsidDel="00000000" w:rsidP="00000000" w:rsidRDefault="00000000" w:rsidRPr="00000000" w14:paraId="000000A0">
      <w:pPr>
        <w:rPr/>
      </w:pPr>
      <w:r w:rsidDel="00000000" w:rsidR="00000000" w:rsidRPr="00000000">
        <w:rPr>
          <w:rtl w:val="0"/>
        </w:rPr>
        <w:t xml:space="preserve">Carve-outs to the general prohibition are necessary for this structure to work, such as allowing the holding company to conduct administrative functions (i.e., paying its taxes and maintaining its </w:t>
      </w:r>
      <w:r w:rsidDel="00000000" w:rsidR="00000000" w:rsidRPr="00000000">
        <w:rPr>
          <w:rtl w:val="0"/>
        </w:rPr>
        <w:t xml:space="preserve">existence), allowing it to own the equity interests in the borrower, and allowing it to perform any other obligations required by the loan documents. To the extent permitted by the exceptions to the negative </w:t>
      </w:r>
      <w:r w:rsidDel="00000000" w:rsidR="00000000" w:rsidRPr="00000000">
        <w:rPr>
          <w:rtl w:val="0"/>
        </w:rPr>
        <w:t xml:space="preserve">covenants</w:t>
      </w:r>
      <w:r w:rsidDel="00000000" w:rsidR="00000000" w:rsidRPr="00000000">
        <w:rPr>
          <w:rtl w:val="0"/>
        </w:rPr>
        <w:t xml:space="preserve">, the holding company is often allowed to conduct certain financing activities, guarantee indebtedness, and pass along any permitted restricted payments to its equity holders. </w:t>
      </w:r>
    </w:p>
    <w:p w:rsidR="00000000" w:rsidDel="00000000" w:rsidP="00000000" w:rsidRDefault="00000000" w:rsidRPr="00000000" w14:paraId="000000A1">
      <w:pPr>
        <w:pStyle w:val="Heading3"/>
        <w:spacing w:after="0" w:before="0" w:lineRule="auto"/>
        <w:rPr/>
      </w:pPr>
      <w:bookmarkStart w:colFirst="0" w:colLast="0" w:name="_6d0cq7bmr1ep" w:id="25"/>
      <w:bookmarkEnd w:id="25"/>
      <w:r w:rsidDel="00000000" w:rsidR="00000000" w:rsidRPr="00000000">
        <w:rPr>
          <w:rtl w:val="0"/>
        </w:rPr>
        <w:t xml:space="preserve">Use of Proceeds</w:t>
      </w:r>
    </w:p>
    <w:p w:rsidR="00000000" w:rsidDel="00000000" w:rsidP="00000000" w:rsidRDefault="00000000" w:rsidRPr="00000000" w14:paraId="000000A2">
      <w:pPr>
        <w:rPr/>
      </w:pPr>
      <w:r w:rsidDel="00000000" w:rsidR="00000000" w:rsidRPr="00000000">
        <w:rPr>
          <w:rtl w:val="0"/>
        </w:rPr>
        <w:t xml:space="preserve">The use of proceeds negative </w:t>
      </w:r>
      <w:r w:rsidDel="00000000" w:rsidR="00000000" w:rsidRPr="00000000">
        <w:rPr>
          <w:rtl w:val="0"/>
        </w:rPr>
        <w:t xml:space="preserve">covenant</w:t>
      </w:r>
      <w:r w:rsidDel="00000000" w:rsidR="00000000" w:rsidRPr="00000000">
        <w:rPr>
          <w:rtl w:val="0"/>
        </w:rPr>
        <w:t xml:space="preserve"> prohibits the loan parties from applying the proceeds of the loans to activities other than the closing date transactions, working capital, and other general corporate purposes of the loan group. Sometimes borrowers successfully push to remove this negative </w:t>
      </w:r>
      <w:r w:rsidDel="00000000" w:rsidR="00000000" w:rsidRPr="00000000">
        <w:rPr>
          <w:rtl w:val="0"/>
        </w:rPr>
        <w:t xml:space="preserve">covenant</w:t>
      </w:r>
      <w:r w:rsidDel="00000000" w:rsidR="00000000" w:rsidRPr="00000000">
        <w:rPr>
          <w:rtl w:val="0"/>
        </w:rPr>
        <w:t xml:space="preserve"> and have the lenders rely on the corresponding representation and warranty (which would typically be made upon any borrowing). It is significantly preferable for lenders to cover use of proceeds with a </w:t>
      </w:r>
      <w:r w:rsidDel="00000000" w:rsidR="00000000" w:rsidRPr="00000000">
        <w:rPr>
          <w:rtl w:val="0"/>
        </w:rPr>
        <w:t xml:space="preserve">covenant</w:t>
      </w:r>
      <w:r w:rsidDel="00000000" w:rsidR="00000000" w:rsidRPr="00000000">
        <w:rPr>
          <w:rtl w:val="0"/>
        </w:rPr>
        <w:t xml:space="preserve"> to ensure that the borrower cannot avoid this requirement altogether by entering into any impermissible transactions at times when the representations and warranties are not required to be made.</w:t>
      </w:r>
    </w:p>
    <w:p w:rsidR="00000000" w:rsidDel="00000000" w:rsidP="00000000" w:rsidRDefault="00000000" w:rsidRPr="00000000" w14:paraId="000000A3">
      <w:pPr>
        <w:rPr/>
      </w:pPr>
      <w:r w:rsidDel="00000000" w:rsidR="00000000" w:rsidRPr="00000000">
        <w:rPr>
          <w:rtl w:val="0"/>
        </w:rPr>
        <w:t xml:space="preserve">One of the biggest focuses of administrative agents and lenders is the potential liability they are subject to if the loan proceeds are used in violation of international sanctions, anti-money laundering laws, or anti-corruption laws.</w:t>
      </w:r>
    </w:p>
    <w:p w:rsidR="00000000" w:rsidDel="00000000" w:rsidP="00000000" w:rsidRDefault="00000000" w:rsidRPr="00000000" w14:paraId="000000A4">
      <w:pPr>
        <w:rPr/>
      </w:pPr>
      <w:r w:rsidDel="00000000" w:rsidR="00000000" w:rsidRPr="00000000">
        <w:rPr>
          <w:rtl w:val="0"/>
        </w:rPr>
        <w:t xml:space="preserve">Lenders will try to include a negative </w:t>
      </w:r>
      <w:r w:rsidDel="00000000" w:rsidR="00000000" w:rsidRPr="00000000">
        <w:rPr>
          <w:rtl w:val="0"/>
        </w:rPr>
        <w:t xml:space="preserve">covenant</w:t>
      </w:r>
      <w:r w:rsidDel="00000000" w:rsidR="00000000" w:rsidRPr="00000000">
        <w:rPr>
          <w:rtl w:val="0"/>
        </w:rPr>
        <w:t xml:space="preserve"> that prohibits the use of the loan proceeds in any manner that will result in a violation, not just for the borrower and its subsidiaries, but also for the lenders and agents. Borrowers often understandably resist this provision arguing that they are not bank regulatory specialists and will not know what actions may result in a violation for one of their lenders. However, from the lenders' perspective, they are not pricing this regulatory risk into the cost of the loans and need to be able to trust the borrower to comply with all applicable laws to get comfortable providing the credit facilities.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awwtw540xquu" w:id="26"/>
      <w:bookmarkEnd w:id="26"/>
      <w:r w:rsidDel="00000000" w:rsidR="00000000" w:rsidRPr="00000000">
        <w:rPr>
          <w:rtl w:val="0"/>
        </w:rPr>
        <w:t xml:space="preserve">Balance Sheet Covenants</w:t>
      </w:r>
    </w:p>
    <w:p w:rsidR="00000000" w:rsidDel="00000000" w:rsidP="00000000" w:rsidRDefault="00000000" w:rsidRPr="00000000" w14:paraId="000000A7">
      <w:pPr>
        <w:rPr/>
      </w:pPr>
      <w:r w:rsidDel="00000000" w:rsidR="00000000" w:rsidRPr="00000000">
        <w:rPr>
          <w:rtl w:val="0"/>
        </w:rPr>
        <w:t xml:space="preserve">Balance sheet covenants measure the enterprise value of the borrower, based on the value of the borrower's assets and the amount of equity on the borrower's balance sheets. Therefore, balance sheet covenants are used to monitor the borrower's financial health based on the assumption that a borrower with a robust balance sheet will not default on its loans. It is customary for balance sheet covenants to be the only financial covenants (if any) included in credit agreements for investment grade borrowers. Examples of balance sheet based covenants include:</w:t>
      </w:r>
    </w:p>
    <w:p w:rsidR="00000000" w:rsidDel="00000000" w:rsidP="00000000" w:rsidRDefault="00000000" w:rsidRPr="00000000" w14:paraId="000000A8">
      <w:pPr>
        <w:pStyle w:val="Heading4"/>
        <w:rPr/>
      </w:pPr>
      <w:bookmarkStart w:colFirst="0" w:colLast="0" w:name="_3pe6ac8zv20t" w:id="27"/>
      <w:bookmarkEnd w:id="27"/>
      <w:r w:rsidDel="00000000" w:rsidR="00000000" w:rsidRPr="00000000">
        <w:rPr>
          <w:rtl w:val="0"/>
        </w:rPr>
        <w:t xml:space="preserve">Minimum Net Worth</w:t>
      </w:r>
    </w:p>
    <w:p w:rsidR="00000000" w:rsidDel="00000000" w:rsidP="00000000" w:rsidRDefault="00000000" w:rsidRPr="00000000" w14:paraId="000000A9">
      <w:pPr>
        <w:rPr/>
      </w:pPr>
      <w:r w:rsidDel="00000000" w:rsidR="00000000" w:rsidRPr="00000000">
        <w:rPr>
          <w:rtl w:val="0"/>
        </w:rPr>
        <w:t xml:space="preserve">A minimum net worth test is a test of the borrower's solvency. Lenders use this covenant to assess:</w:t>
      </w:r>
    </w:p>
    <w:p w:rsidR="00000000" w:rsidDel="00000000" w:rsidP="00000000" w:rsidRDefault="00000000" w:rsidRPr="00000000" w14:paraId="000000AA">
      <w:pPr>
        <w:numPr>
          <w:ilvl w:val="0"/>
          <w:numId w:val="9"/>
        </w:numPr>
        <w:spacing w:after="0" w:afterAutospacing="0"/>
        <w:ind w:left="720" w:hanging="360"/>
        <w:jc w:val="left"/>
      </w:pPr>
      <w:r w:rsidDel="00000000" w:rsidR="00000000" w:rsidRPr="00000000">
        <w:rPr>
          <w:rtl w:val="0"/>
        </w:rPr>
        <w:t xml:space="preserve">• the value of the borrower's assets, and</w:t>
      </w:r>
    </w:p>
    <w:p w:rsidR="00000000" w:rsidDel="00000000" w:rsidP="00000000" w:rsidRDefault="00000000" w:rsidRPr="00000000" w14:paraId="000000AB">
      <w:pPr>
        <w:numPr>
          <w:ilvl w:val="0"/>
          <w:numId w:val="9"/>
        </w:numPr>
        <w:spacing w:before="0" w:beforeAutospacing="0" w:lineRule="auto"/>
        <w:ind w:left="720" w:hanging="360"/>
        <w:jc w:val="left"/>
      </w:pPr>
      <w:r w:rsidDel="00000000" w:rsidR="00000000" w:rsidRPr="00000000">
        <w:rPr>
          <w:rtl w:val="0"/>
        </w:rPr>
        <w:t xml:space="preserve">• how easily the borrower could access valuable assets to meet its payment obligations if there was a squeeze on cash flow.</w:t>
      </w:r>
    </w:p>
    <w:p w:rsidR="00000000" w:rsidDel="00000000" w:rsidP="00000000" w:rsidRDefault="00000000" w:rsidRPr="00000000" w14:paraId="000000AC">
      <w:pPr>
        <w:rPr/>
      </w:pPr>
      <w:r w:rsidDel="00000000" w:rsidR="00000000" w:rsidRPr="00000000">
        <w:rPr>
          <w:rtl w:val="0"/>
        </w:rPr>
        <w:t xml:space="preserve">Lenders will want the net worth of the borrower to be based on assets which represent quantifiable or realizable value in the business (</w:t>
      </w:r>
      <w:r w:rsidDel="00000000" w:rsidR="00000000" w:rsidRPr="00000000">
        <w:rPr>
          <w:i w:val="1"/>
          <w:iCs w:val="1"/>
          <w:rtl w:val="0"/>
        </w:rPr>
        <w:t xml:space="preserve">e.g.</w:t>
      </w:r>
      <w:r w:rsidDel="00000000" w:rsidR="00000000" w:rsidRPr="00000000">
        <w:rPr>
          <w:rtl w:val="0"/>
        </w:rPr>
        <w:t xml:space="preserve">, tangible assets over intangible assets). The borrower will want its net worth to be based on as wide a definition of assets as possible.</w:t>
      </w:r>
    </w:p>
    <w:p w:rsidR="00000000" w:rsidDel="00000000" w:rsidP="00000000" w:rsidRDefault="00000000" w:rsidRPr="00000000" w14:paraId="000000AD">
      <w:pPr>
        <w:rPr/>
      </w:pPr>
      <w:r w:rsidDel="00000000" w:rsidR="00000000" w:rsidRPr="00000000">
        <w:rPr>
          <w:rtl w:val="0"/>
        </w:rPr>
        <w:t xml:space="preserve">While there is no standard figure which is appropriate for a minimum net worth test (because it depends so heavily on the status of the particular borrower), a borrower with little or no net worth will find it very difficult to borrow from most lenders.</w:t>
      </w:r>
    </w:p>
    <w:p w:rsidR="00000000" w:rsidDel="00000000" w:rsidP="00000000" w:rsidRDefault="00000000" w:rsidRPr="00000000" w14:paraId="000000AE">
      <w:pPr>
        <w:pStyle w:val="Heading4"/>
        <w:rPr/>
      </w:pPr>
      <w:bookmarkStart w:colFirst="0" w:colLast="0" w:name="_3i92ixfp3mi0" w:id="28"/>
      <w:bookmarkEnd w:id="28"/>
      <w:r w:rsidDel="00000000" w:rsidR="00000000" w:rsidRPr="00000000">
        <w:rPr>
          <w:rtl w:val="0"/>
        </w:rPr>
        <w:t xml:space="preserve">Current Ratio</w:t>
      </w:r>
    </w:p>
    <w:p w:rsidR="00000000" w:rsidDel="00000000" w:rsidP="00000000" w:rsidRDefault="00000000" w:rsidRPr="00000000" w14:paraId="000000AF">
      <w:pPr>
        <w:rPr/>
      </w:pPr>
      <w:r w:rsidDel="00000000" w:rsidR="00000000" w:rsidRPr="00000000">
        <w:rPr>
          <w:rtl w:val="0"/>
        </w:rPr>
        <w:t xml:space="preserve">A current ratio tests day-to-day liquidity (</w:t>
      </w:r>
      <w:r w:rsidDel="00000000" w:rsidR="00000000" w:rsidRPr="00000000">
        <w:rPr>
          <w:i w:val="1"/>
          <w:iCs w:val="1"/>
          <w:rtl w:val="0"/>
        </w:rPr>
        <w:t xml:space="preserve">i.e.</w:t>
      </w:r>
      <w:r w:rsidDel="00000000" w:rsidR="00000000" w:rsidRPr="00000000">
        <w:rPr>
          <w:rtl w:val="0"/>
        </w:rPr>
        <w:t xml:space="preserve">, how easily the borrower can access cash). Lenders use this covenant to assess the borrower's ability to pay its current debts as they fall due. Current debts are those which are due to be paid within 12 months.</w:t>
      </w:r>
    </w:p>
    <w:p w:rsidR="00000000" w:rsidDel="00000000" w:rsidP="00000000" w:rsidRDefault="00000000" w:rsidRPr="00000000" w14:paraId="000000B0">
      <w:pPr>
        <w:rPr/>
      </w:pPr>
      <w:r w:rsidDel="00000000" w:rsidR="00000000" w:rsidRPr="00000000">
        <w:rPr>
          <w:rtl w:val="0"/>
        </w:rPr>
        <w:t xml:space="preserve">The current ratio is usually the ratio of:</w:t>
      </w:r>
    </w:p>
    <w:p w:rsidR="00000000" w:rsidDel="00000000" w:rsidP="00000000" w:rsidRDefault="00000000" w:rsidRPr="00000000" w14:paraId="000000B1">
      <w:pPr>
        <w:spacing w:after="460" w:before="460" w:lineRule="auto"/>
        <w:ind w:left="600" w:right="600" w:firstLine="0"/>
        <w:rPr/>
      </w:pPr>
      <w:r w:rsidDel="00000000" w:rsidR="00000000" w:rsidRPr="00000000">
        <w:rPr>
          <w:rtl w:val="0"/>
        </w:rPr>
        <w:t xml:space="preserve">Current Assets : Current Liabilities</w:t>
      </w:r>
    </w:p>
    <w:p w:rsidR="00000000" w:rsidDel="00000000" w:rsidP="00000000" w:rsidRDefault="00000000" w:rsidRPr="00000000" w14:paraId="000000B2">
      <w:pPr>
        <w:rPr/>
      </w:pPr>
      <w:r w:rsidDel="00000000" w:rsidR="00000000" w:rsidRPr="00000000">
        <w:rPr>
          <w:rtl w:val="0"/>
        </w:rPr>
        <w:t xml:space="preserve">Current assets are cash and other assets that a company expects to convert to cash in the near future. Such assets are usually made up largely of stock and work in progress.</w:t>
      </w:r>
    </w:p>
    <w:p w:rsidR="00000000" w:rsidDel="00000000" w:rsidP="00000000" w:rsidRDefault="00000000" w:rsidRPr="00000000" w14:paraId="000000B3">
      <w:pPr>
        <w:pStyle w:val="Heading3"/>
        <w:rPr/>
      </w:pPr>
      <w:bookmarkStart w:colFirst="0" w:colLast="0" w:name="_jsg7das6pgzv" w:id="29"/>
      <w:bookmarkEnd w:id="29"/>
      <w:r w:rsidDel="00000000" w:rsidR="00000000" w:rsidRPr="00000000">
        <w:rPr>
          <w:rtl w:val="0"/>
        </w:rPr>
        <w:t xml:space="preserve">Cash Flow Covenants</w:t>
      </w:r>
    </w:p>
    <w:p w:rsidR="00000000" w:rsidDel="00000000" w:rsidP="00000000" w:rsidRDefault="00000000" w:rsidRPr="00000000" w14:paraId="000000B4">
      <w:pPr>
        <w:rPr/>
      </w:pPr>
      <w:r w:rsidDel="00000000" w:rsidR="00000000" w:rsidRPr="00000000">
        <w:rPr>
          <w:rtl w:val="0"/>
        </w:rPr>
        <w:t xml:space="preserve">Cash flow covenants are tests of a company's net revenues against various other financial metrics. These covenants are mostly used in credit agreements for non-investment grade borrowers since the lenders will be relying on the cash flow generated from the borrower's businesses and operations to service the loans rather than the overall asset value of the borrower. A calculation of a company's earnings before interest, taxes, depreciation, and amortization (EBITDA) generally services as an approximate representation of cash flow from operations and is typically the key building block in cash flow based financial covenants.</w:t>
      </w:r>
    </w:p>
    <w:p w:rsidR="00000000" w:rsidDel="00000000" w:rsidP="00000000" w:rsidRDefault="00000000" w:rsidRPr="00000000" w14:paraId="000000B5">
      <w:pPr>
        <w:rPr/>
      </w:pPr>
      <w:r w:rsidDel="00000000" w:rsidR="00000000" w:rsidRPr="00000000">
        <w:rPr>
          <w:rtl w:val="0"/>
        </w:rPr>
        <w:t xml:space="preserve">EBITDA is calculated by starting with consolidated net income, and adding back interest, taxes, depreciation, amortization and other negotiated non-cash and other charges. Calculations of EBITDA provides a measure of the borrower's operating profitability before taking into account certain non-operating expenses and non-cash charges that effectively reduce a borrower's consolidated net income under generally accepted account principles. Borrowers seek to exclude one-time charges from the calculation of EBITDA since they do not necessarily reflect the ongoing ability of the business to generate cash, but lenders often push back on these "add-backs" to the extent they are misleading or excessively inflate EBITDA in relation to the borrower's actual cash flow. Through the use of broad add-backs, borrowers have recently won certain covenant-lite treatment even in credit agreements that include maintenance covenants. Lenders in these agreements have agreed to add-backs to EBITDA and to deemed EBITDA amounts that have boosted EBITDA figures. This has made it easier for borrowers to comply with their maintenance covenants.</w:t>
      </w:r>
    </w:p>
    <w:p w:rsidR="00000000" w:rsidDel="00000000" w:rsidP="00000000" w:rsidRDefault="00000000" w:rsidRPr="00000000" w14:paraId="000000B6">
      <w:pPr>
        <w:rPr/>
      </w:pPr>
      <w:r w:rsidDel="00000000" w:rsidR="00000000" w:rsidRPr="00000000">
        <w:rPr>
          <w:rtl w:val="0"/>
        </w:rPr>
        <w:t xml:space="preserve">Examples of cash flow based tests include:</w:t>
      </w:r>
    </w:p>
    <w:p w:rsidR="00000000" w:rsidDel="00000000" w:rsidP="00000000" w:rsidRDefault="00000000" w:rsidRPr="00000000" w14:paraId="000000B7">
      <w:pPr>
        <w:pStyle w:val="Heading4"/>
        <w:rPr/>
      </w:pPr>
      <w:bookmarkStart w:colFirst="0" w:colLast="0" w:name="_lztjbh18xxr8" w:id="30"/>
      <w:bookmarkEnd w:id="30"/>
      <w:r w:rsidDel="00000000" w:rsidR="00000000" w:rsidRPr="00000000">
        <w:rPr>
          <w:rtl w:val="0"/>
        </w:rPr>
        <w:t xml:space="preserve">Minimum EBITDA</w:t>
      </w:r>
    </w:p>
    <w:p w:rsidR="00000000" w:rsidDel="00000000" w:rsidP="00000000" w:rsidRDefault="00000000" w:rsidRPr="00000000" w14:paraId="000000B8">
      <w:pPr>
        <w:rPr/>
      </w:pPr>
      <w:r w:rsidDel="00000000" w:rsidR="00000000" w:rsidRPr="00000000">
        <w:rPr>
          <w:rtl w:val="0"/>
        </w:rPr>
        <w:t xml:space="preserve">This test requires the borrower's consolidated corporate group to meet a fixed minimum amount of required consolidated EBITDA at the end of each measurement period. The required EBITDA level sometimes remains fixed throughout the life of the loans but can also be increased or decreased over time to track changes over time in the financial projections. This is the most basic of the cash flow covenants as it simply requires a minimum revenue level without comparing it against any other financial metrics.</w:t>
      </w:r>
    </w:p>
    <w:p w:rsidR="00000000" w:rsidDel="00000000" w:rsidP="00000000" w:rsidRDefault="00000000" w:rsidRPr="00000000" w14:paraId="000000B9">
      <w:pPr>
        <w:pStyle w:val="Heading4"/>
        <w:rPr/>
      </w:pPr>
      <w:bookmarkStart w:colFirst="0" w:colLast="0" w:name="_4nsrd8bwmm06" w:id="31"/>
      <w:bookmarkEnd w:id="31"/>
      <w:r w:rsidDel="00000000" w:rsidR="00000000" w:rsidRPr="00000000">
        <w:rPr>
          <w:rtl w:val="0"/>
        </w:rPr>
        <w:t xml:space="preserve">Minimum Liquidity</w:t>
      </w:r>
    </w:p>
    <w:p w:rsidR="00000000" w:rsidDel="00000000" w:rsidP="00000000" w:rsidRDefault="00000000" w:rsidRPr="00000000" w14:paraId="000000BA">
      <w:pPr>
        <w:rPr/>
      </w:pPr>
      <w:r w:rsidDel="00000000" w:rsidR="00000000" w:rsidRPr="00000000">
        <w:rPr>
          <w:rtl w:val="0"/>
        </w:rPr>
        <w:t xml:space="preserve">A minimum liquidity covenant requires that the borrower maintain a certain amount of available funds on hand. Lenders may require this covenant to ensure that the borrower manages their cash flow and credit facility availability to maintain sufficient capacity to service their loans at all times. Liquidity is generally defined to include the borrower's unrestricted cash and cash equivalents as well as the loans available to be drawn under the borrower's credit facility. Borrowers will sometimes request that other liquid assets are included in this calculation.</w:t>
      </w:r>
    </w:p>
    <w:p w:rsidR="00000000" w:rsidDel="00000000" w:rsidP="00000000" w:rsidRDefault="00000000" w:rsidRPr="00000000" w14:paraId="000000BB">
      <w:pPr>
        <w:pStyle w:val="Heading5"/>
        <w:rPr/>
      </w:pPr>
      <w:bookmarkStart w:colFirst="0" w:colLast="0" w:name="_7a86fyuga8c5" w:id="32"/>
      <w:bookmarkEnd w:id="32"/>
      <w:r w:rsidDel="00000000" w:rsidR="00000000" w:rsidRPr="00000000">
        <w:rPr>
          <w:rtl w:val="0"/>
        </w:rPr>
        <w:t xml:space="preserve">Consolidated Interest Coverage Ratio</w:t>
      </w:r>
    </w:p>
    <w:p w:rsidR="00000000" w:rsidDel="00000000" w:rsidP="00000000" w:rsidRDefault="00000000" w:rsidRPr="00000000" w14:paraId="000000BC">
      <w:pPr>
        <w:rPr/>
      </w:pPr>
      <w:r w:rsidDel="00000000" w:rsidR="00000000" w:rsidRPr="00000000">
        <w:rPr>
          <w:rtl w:val="0"/>
        </w:rPr>
        <w:t xml:space="preserve">The consolidated interest coverage ratio compares the borrower's operating cash flow during the period in question to the aggregate of all interest payments that the borrower is required to make during the same period. It is designed to ensure that the borrower has sufficient cash to pay scheduled payments of principal and interest due and owing on its outstanding indebtedness. For purposes of this covenant, interest expense is typically defined to include only cash interest, excluding pay-in-kind interest and capitalized interest charges. The consolidated interest coverage ratio also reflects any cash paid (or received) in connection with any interest rate hedging arrangements. This covenant should always be drafted to take into account all interest payable during the relevant period, as opposed to actually paid so as to avoid the possibility that the borrower could delay or move forward particular payments between one or another period in order to manipulate the covenant levels.</w:t>
      </w:r>
    </w:p>
    <w:p w:rsidR="00000000" w:rsidDel="00000000" w:rsidP="00000000" w:rsidRDefault="00000000" w:rsidRPr="00000000" w14:paraId="000000BD">
      <w:pPr>
        <w:pStyle w:val="Heading5"/>
        <w:rPr/>
      </w:pPr>
      <w:bookmarkStart w:colFirst="0" w:colLast="0" w:name="_ypvuqzzb2z68" w:id="33"/>
      <w:bookmarkEnd w:id="33"/>
      <w:r w:rsidDel="00000000" w:rsidR="00000000" w:rsidRPr="00000000">
        <w:rPr>
          <w:rtl w:val="0"/>
        </w:rPr>
        <w:t xml:space="preserve">Consolidated Fixed Charge Coverage Ratio</w:t>
      </w:r>
    </w:p>
    <w:p w:rsidR="00000000" w:rsidDel="00000000" w:rsidP="00000000" w:rsidRDefault="00000000" w:rsidRPr="00000000" w14:paraId="000000BE">
      <w:pPr>
        <w:rPr/>
      </w:pPr>
      <w:r w:rsidDel="00000000" w:rsidR="00000000" w:rsidRPr="00000000">
        <w:rPr>
          <w:rtl w:val="0"/>
        </w:rPr>
        <w:t xml:space="preserve">The consolidated fixed charge coverage ratio compares the borrower's operating cash flow during the period in question to the aggregate of all fixed payments that the borrower is required to make during the same period, including interest payments and other debt service payments (such as scheduled principal payments and mandatory prepayments), capital expenditures, taxes, preferred stock dividend payments and sometimes rental payments on operating leases. It covers a much broader array of the required cash outlays of a borrower in the given period than with the consolidated interest coverage ratio test and measures the borrower's ability to pay its regular fixed charges out of its operating cash flow. As with the interest coverage ratio test, this covenant should always be drafted to take into account all charges payable during the relevant period, as opposed to the charges actually paid in order to avoid the possibility of manipulation of the covenant levels by the borrower. Since both the fixed charge coverage ratio and the interest coverage ratio both address the same lender concern about the borrower's ability to service its ongoing obligations, usually credit agreements do not include both covenants.</w:t>
      </w:r>
    </w:p>
    <w:p w:rsidR="00000000" w:rsidDel="00000000" w:rsidP="00000000" w:rsidRDefault="00000000" w:rsidRPr="00000000" w14:paraId="000000BF">
      <w:pPr>
        <w:pStyle w:val="Heading5"/>
        <w:rPr/>
      </w:pPr>
      <w:bookmarkStart w:colFirst="0" w:colLast="0" w:name="_zao16ze6qvkk" w:id="34"/>
      <w:bookmarkEnd w:id="34"/>
      <w:r w:rsidDel="00000000" w:rsidR="00000000" w:rsidRPr="00000000">
        <w:rPr>
          <w:rtl w:val="0"/>
        </w:rPr>
        <w:t xml:space="preserve">Consolidated Leverage Ratio</w:t>
      </w:r>
    </w:p>
    <w:p w:rsidR="00000000" w:rsidDel="00000000" w:rsidP="00000000" w:rsidRDefault="00000000" w:rsidRPr="00000000" w14:paraId="000000C0">
      <w:pPr>
        <w:rPr/>
      </w:pPr>
      <w:r w:rsidDel="00000000" w:rsidR="00000000" w:rsidRPr="00000000">
        <w:rPr>
          <w:rtl w:val="0"/>
        </w:rPr>
        <w:t xml:space="preserve">The consolidated leverage ratio compares the aggregate outstanding principal amount of all debt of the borrower as of the end of the period in question to the borrower's operating cash flow for that period. Prior to the 1980's, leverage was typically defined as a debt-to-equity ratio (which focused more on the capital structure of a borrower). Since the mid-1980s, lenders have generally used a debt-to-cash flow formulation, which focuses more on a borrower's liquidity. The consolidated leverage ratio is the most commonly used cash flow covenant in credit agreements because lenders view a borrower's leverage ratio as an indicator of a borrower's future financial health.</w:t>
      </w:r>
    </w:p>
    <w:p w:rsidR="00000000" w:rsidDel="00000000" w:rsidP="00000000" w:rsidRDefault="00000000" w:rsidRPr="00000000" w14:paraId="000000C1">
      <w:pPr>
        <w:rPr/>
      </w:pPr>
      <w:r w:rsidDel="00000000" w:rsidR="00000000" w:rsidRPr="00000000">
        <w:rPr>
          <w:rtl w:val="0"/>
        </w:rPr>
        <w:t xml:space="preserve">Typically, a ratio of total consolidated indebtedness to consolidated EBITDA is used. However, if a borrower's capital structure contains both senior debt and junior debt, sometimes a senior leverage ratio is used, which only calculates the ratio of the senior debt to EBITDA. In transactions led by a private equity sponsor, the borrower often pushes for a cash netting provision which allows the borrower to reduce the debt portion of the leverage ratio calculation by an agreed portion of its cash on hand.</w:t>
      </w:r>
    </w:p>
    <w:p w:rsidR="00000000" w:rsidDel="00000000" w:rsidP="00000000" w:rsidRDefault="00000000" w:rsidRPr="00000000" w14:paraId="000000C2">
      <w:pPr>
        <w:pStyle w:val="Heading4"/>
        <w:rPr/>
      </w:pPr>
      <w:bookmarkStart w:colFirst="0" w:colLast="0" w:name="_d141inu27e5o" w:id="35"/>
      <w:bookmarkEnd w:id="35"/>
      <w:r w:rsidDel="00000000" w:rsidR="00000000" w:rsidRPr="00000000">
        <w:rPr>
          <w:rtl w:val="0"/>
        </w:rPr>
        <w:t xml:space="preserve">Capital Expenditures</w:t>
      </w:r>
    </w:p>
    <w:p w:rsidR="00000000" w:rsidDel="00000000" w:rsidP="00000000" w:rsidRDefault="00000000" w:rsidRPr="00000000" w14:paraId="000000C3">
      <w:pPr>
        <w:rPr/>
      </w:pPr>
      <w:r w:rsidDel="00000000" w:rsidR="00000000" w:rsidRPr="00000000">
        <w:rPr>
          <w:rtl w:val="0"/>
        </w:rPr>
        <w:t xml:space="preserve">A third type of cash flow financial covenant is a restriction on capital expenditures that a borrower can make in any given fiscal year. Capital expenditures result in the conversion of liquid assets (such as cash) into illiquid fixed or capital assets and lenders are concerned that excessive capital expenditures could lead to a liquidity crisis where the borrower may have a substantial net worth but nevertheless be unable to pay debt service or make other current payments. In negotiating the maximum capital expenditures provisions of the credit agreement, the parties generally agree to strike a balance between providing the borrower with a certain amount of flexibility to grow its business and preventing it from running dangerously low on liquidity.</w:t>
      </w:r>
    </w:p>
    <w:p w:rsidR="00000000" w:rsidDel="00000000" w:rsidP="00000000" w:rsidRDefault="00000000" w:rsidRPr="00000000" w14:paraId="000000C4">
      <w:pPr>
        <w:rPr/>
      </w:pPr>
      <w:r w:rsidDel="00000000" w:rsidR="00000000" w:rsidRPr="00000000">
        <w:rPr>
          <w:rtl w:val="0"/>
        </w:rPr>
        <w:t xml:space="preserve">Typically, the borrower takes the position that the timing of capital expenditures, particularly those that relate to an ongoing project (such as the expansion of a manufacturing facility) is not always within the borrower's control and it should not be penalized if certain capital expenditures that it expected to incur in one fiscal year carries over into the next year. The solution that is often negotiated is to allow the borrower to carry over unused capital expenditures from one fiscal year into the next. While lenders are often amenable to this concept, they may impose certain limitations, such as only allowing a percentage (for example, 50%) of unused capital expenditures availability to be carried over or crafting the carryover provision such that the carryover amount may only be used in the immediately succeeding fiscal year. Such limitations prevent borrowers from carrying unacceptably high levels of capital expenditures in a single subsequent fiscal year.</w:t>
      </w:r>
    </w:p>
    <w:p w:rsidR="00000000" w:rsidDel="00000000" w:rsidP="00000000" w:rsidRDefault="00000000" w:rsidRPr="00000000" w14:paraId="000000C5">
      <w:pPr>
        <w:rPr/>
      </w:pPr>
      <w:r w:rsidDel="00000000" w:rsidR="00000000" w:rsidRPr="00000000">
        <w:rPr>
          <w:rtl w:val="0"/>
        </w:rPr>
        <w:t xml:space="preserve">Occasionally, credit agreements distinguish between maintenance capital expenditures and those incurred to acquire new capital assets. This is done in order to ensure that the borrower doesn't neglect needed repairs to existing equipment so that it can make other capital expenditures that fit within a single overall cap set by the capital expenditures covenant.</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0" w:before="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