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Litigation - Derivative Action </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pStyle w:val="Heading1"/>
        <w:rPr/>
      </w:pPr>
      <w:bookmarkStart w:colFirst="0" w:colLast="0" w:name="_wqcbf4o8oehr" w:id="4"/>
      <w:bookmarkEnd w:id="4"/>
      <w:r w:rsidDel="00000000" w:rsidR="00000000" w:rsidRPr="00000000">
        <w:rPr>
          <w:rtl w:val="0"/>
        </w:rPr>
        <w:t xml:space="preserve">Types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w:t>
        <w:tab/>
        <w:t xml:space="preserve">Derivative Action</w:t>
      </w:r>
    </w:p>
    <w:p w:rsidR="00000000" w:rsidDel="00000000" w:rsidP="00000000" w:rsidRDefault="00000000" w:rsidRPr="00000000" w14:paraId="0000000E">
      <w:pPr>
        <w:rPr/>
      </w:pPr>
      <w:r w:rsidDel="00000000" w:rsidR="00000000" w:rsidRPr="00000000">
        <w:rPr>
          <w:rtl w:val="0"/>
        </w:rPr>
        <w:t xml:space="preserve">2. </w:t>
        <w:tab/>
        <w:t xml:space="preserve">Oppression Remedy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Distinguishing Derivative Actions and Oppression Claims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central distinction between </w:t>
      </w:r>
      <w:r w:rsidDel="00000000" w:rsidR="00000000" w:rsidRPr="00000000">
        <w:rPr>
          <w:rFonts w:ascii="Verdana" w:cs="Verdana" w:eastAsia="Verdana" w:hAnsi="Verdana"/>
          <w:b w:val="1"/>
          <w:bCs w:val="1"/>
          <w:color w:val="212121"/>
          <w:sz w:val="18"/>
          <w:szCs w:val="18"/>
          <w:shd w:fill="fff099" w:val="clear"/>
          <w:rtl w:val="0"/>
        </w:rPr>
        <w:t xml:space="preserve">derivative actions</w:t>
      </w:r>
      <w:r w:rsidDel="00000000" w:rsidR="00000000" w:rsidRPr="00000000">
        <w:rPr>
          <w:rFonts w:ascii="Verdana" w:cs="Verdana" w:eastAsia="Verdana" w:hAnsi="Verdana"/>
          <w:color w:val="212121"/>
          <w:sz w:val="18"/>
          <w:szCs w:val="18"/>
          <w:rtl w:val="0"/>
        </w:rPr>
        <w:t xml:space="preserve"> and oppressive claims (see practice note: </w:t>
      </w:r>
      <w:hyperlink r:id="rId6">
        <w:r w:rsidDel="00000000" w:rsidR="00000000" w:rsidRPr="00000000">
          <w:rPr>
            <w:rFonts w:ascii="Verdana" w:cs="Verdana" w:eastAsia="Verdana" w:hAnsi="Verdana"/>
            <w:b w:val="1"/>
            <w:bCs w:val="1"/>
            <w:color w:val="006ebb"/>
            <w:sz w:val="18"/>
            <w:szCs w:val="18"/>
            <w:u w:val="single"/>
            <w:shd w:fill="fff099" w:val="clear"/>
            <w:rtl w:val="0"/>
          </w:rPr>
          <w:t xml:space="preserve">Oppression Remedy</w:t>
        </w:r>
      </w:hyperlink>
      <w:hyperlink r:id="rId7">
        <w:r w:rsidDel="00000000" w:rsidR="00000000" w:rsidRPr="00000000">
          <w:rPr>
            <w:rFonts w:ascii="Verdana" w:cs="Verdana" w:eastAsia="Verdana" w:hAnsi="Verdana"/>
            <w:color w:val="006ebb"/>
            <w:sz w:val="18"/>
            <w:szCs w:val="18"/>
            <w:u w:val="single"/>
            <w:rtl w:val="0"/>
          </w:rPr>
          <w:t xml:space="preserve"> Guide</w:t>
        </w:r>
      </w:hyperlink>
      <w:r w:rsidDel="00000000" w:rsidR="00000000" w:rsidRPr="00000000">
        <w:rPr>
          <w:rFonts w:ascii="Verdana" w:cs="Verdana" w:eastAsia="Verdana" w:hAnsi="Verdana"/>
          <w:color w:val="212121"/>
          <w:sz w:val="18"/>
          <w:szCs w:val="18"/>
          <w:rtl w:val="0"/>
        </w:rPr>
        <w:t xml:space="preserve">), as described in the leading decision of </w:t>
      </w:r>
      <w:r w:rsidDel="00000000" w:rsidR="00000000" w:rsidRPr="00000000">
        <w:rPr>
          <w:rFonts w:ascii="Verdana" w:cs="Verdana" w:eastAsia="Verdana" w:hAnsi="Verdana"/>
          <w:i w:val="1"/>
          <w:iCs w:val="1"/>
          <w:color w:val="212121"/>
          <w:sz w:val="18"/>
          <w:szCs w:val="18"/>
          <w:rtl w:val="0"/>
        </w:rPr>
        <w:t xml:space="preserve">Goldex Mines Ltd. v. Revill</w:t>
      </w:r>
      <w:r w:rsidDel="00000000" w:rsidR="00000000" w:rsidRPr="00000000">
        <w:rPr>
          <w:rFonts w:ascii="Verdana" w:cs="Verdana" w:eastAsia="Verdana" w:hAnsi="Verdana"/>
          <w:color w:val="212121"/>
          <w:sz w:val="18"/>
          <w:szCs w:val="18"/>
          <w:rtl w:val="0"/>
        </w:rPr>
        <w:t xml:space="preserve">, </w:t>
      </w:r>
      <w:hyperlink r:id="rId8">
        <w:r w:rsidDel="00000000" w:rsidR="00000000" w:rsidRPr="00000000">
          <w:rPr>
            <w:rFonts w:ascii="Verdana" w:cs="Verdana" w:eastAsia="Verdana" w:hAnsi="Verdana"/>
            <w:color w:val="006ebb"/>
            <w:sz w:val="18"/>
            <w:szCs w:val="18"/>
            <w:u w:val="single"/>
            <w:rtl w:val="0"/>
          </w:rPr>
          <w:t xml:space="preserve">[1974] O.J. No. 2245</w:t>
        </w:r>
      </w:hyperlink>
      <w:r w:rsidDel="00000000" w:rsidR="00000000" w:rsidRPr="00000000">
        <w:rPr>
          <w:rFonts w:ascii="Verdana" w:cs="Verdana" w:eastAsia="Verdana" w:hAnsi="Verdana"/>
          <w:color w:val="212121"/>
          <w:sz w:val="18"/>
          <w:szCs w:val="18"/>
          <w:rtl w:val="0"/>
        </w:rPr>
        <w:t xml:space="preserve"> (C.A.), is that an oppression claim is a personal claim made by the shareholder, while a </w:t>
      </w:r>
      <w:r w:rsidDel="00000000" w:rsidR="00000000" w:rsidRPr="00000000">
        <w:rPr>
          <w:rFonts w:ascii="Verdana" w:cs="Verdana" w:eastAsia="Verdana" w:hAnsi="Verdana"/>
          <w:b w:val="1"/>
          <w:bCs w:val="1"/>
          <w:color w:val="212121"/>
          <w:sz w:val="18"/>
          <w:szCs w:val="18"/>
          <w:shd w:fill="fff099" w:val="clear"/>
          <w:rtl w:val="0"/>
        </w:rPr>
        <w:t xml:space="preserve">derivative</w:t>
      </w:r>
      <w:r w:rsidDel="00000000" w:rsidR="00000000" w:rsidRPr="00000000">
        <w:rPr>
          <w:rFonts w:ascii="Verdana" w:cs="Verdana" w:eastAsia="Verdana" w:hAnsi="Verdana"/>
          <w:color w:val="212121"/>
          <w:sz w:val="18"/>
          <w:szCs w:val="18"/>
          <w:rtl w:val="0"/>
        </w:rPr>
        <w:t xml:space="preserve"> claim is not a personal claim, but rather, a claim brought in the name of the company. Unlike the </w:t>
      </w:r>
      <w:r w:rsidDel="00000000" w:rsidR="00000000" w:rsidRPr="00000000">
        <w:rPr>
          <w:rFonts w:ascii="Verdana" w:cs="Verdana" w:eastAsia="Verdana" w:hAnsi="Verdana"/>
          <w:b w:val="1"/>
          <w:bCs w:val="1"/>
          <w:color w:val="212121"/>
          <w:sz w:val="18"/>
          <w:szCs w:val="18"/>
          <w:shd w:fill="fff099" w:val="clear"/>
          <w:rtl w:val="0"/>
        </w:rPr>
        <w:t xml:space="preserve">oppression remedy</w:t>
      </w: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shd w:fill="fff099" w:val="clear"/>
          <w:rtl w:val="0"/>
        </w:rPr>
        <w:t xml:space="preserve">derivative action</w:t>
      </w:r>
      <w:r w:rsidDel="00000000" w:rsidR="00000000" w:rsidRPr="00000000">
        <w:rPr>
          <w:rFonts w:ascii="Verdana" w:cs="Verdana" w:eastAsia="Verdana" w:hAnsi="Verdana"/>
          <w:color w:val="212121"/>
          <w:sz w:val="18"/>
          <w:szCs w:val="18"/>
          <w:rtl w:val="0"/>
        </w:rPr>
        <w:t xml:space="preserve"> does not confer any substantive rights or remedies; the person seeking to bring a </w:t>
      </w:r>
      <w:r w:rsidDel="00000000" w:rsidR="00000000" w:rsidRPr="00000000">
        <w:rPr>
          <w:rFonts w:ascii="Verdana" w:cs="Verdana" w:eastAsia="Verdana" w:hAnsi="Verdana"/>
          <w:b w:val="1"/>
          <w:bCs w:val="1"/>
          <w:color w:val="212121"/>
          <w:sz w:val="18"/>
          <w:szCs w:val="18"/>
          <w:shd w:fill="fff099" w:val="clear"/>
          <w:rtl w:val="0"/>
        </w:rPr>
        <w:t xml:space="preserve">derivative action</w:t>
      </w:r>
      <w:r w:rsidDel="00000000" w:rsidR="00000000" w:rsidRPr="00000000">
        <w:rPr>
          <w:rFonts w:ascii="Verdana" w:cs="Verdana" w:eastAsia="Verdana" w:hAnsi="Verdana"/>
          <w:color w:val="212121"/>
          <w:sz w:val="18"/>
          <w:szCs w:val="18"/>
          <w:rtl w:val="0"/>
        </w:rPr>
        <w:t xml:space="preserve"> has no greater rights than the corporation would have had if it brought a similar </w:t>
      </w:r>
      <w:r w:rsidDel="00000000" w:rsidR="00000000" w:rsidRPr="00000000">
        <w:rPr>
          <w:rFonts w:ascii="Verdana" w:cs="Verdana" w:eastAsia="Verdana" w:hAnsi="Verdana"/>
          <w:b w:val="1"/>
          <w:bCs w:val="1"/>
          <w:color w:val="212121"/>
          <w:sz w:val="18"/>
          <w:szCs w:val="18"/>
          <w:shd w:fill="fff099" w:val="clear"/>
          <w:rtl w:val="0"/>
        </w:rPr>
        <w:t xml:space="preserve">action</w:t>
      </w:r>
      <w:r w:rsidDel="00000000" w:rsidR="00000000" w:rsidRPr="00000000">
        <w:rPr>
          <w:rFonts w:ascii="Verdana" w:cs="Verdana" w:eastAsia="Verdana" w:hAnsi="Verdana"/>
          <w:color w:val="212121"/>
          <w:sz w:val="18"/>
          <w:szCs w:val="18"/>
          <w:rtl w:val="0"/>
        </w:rPr>
        <w:t xml:space="preserve"> by itself (</w:t>
      </w:r>
      <w:r w:rsidDel="00000000" w:rsidR="00000000" w:rsidRPr="00000000">
        <w:rPr>
          <w:rFonts w:ascii="Verdana" w:cs="Verdana" w:eastAsia="Verdana" w:hAnsi="Verdana"/>
          <w:i w:val="1"/>
          <w:iCs w:val="1"/>
          <w:color w:val="212121"/>
          <w:sz w:val="18"/>
          <w:szCs w:val="18"/>
          <w:rtl w:val="0"/>
        </w:rPr>
        <w:t xml:space="preserve">1186708 Ontario Inc. v. Gerstein</w:t>
      </w:r>
      <w:r w:rsidDel="00000000" w:rsidR="00000000" w:rsidRPr="00000000">
        <w:rPr>
          <w:rFonts w:ascii="Verdana" w:cs="Verdana" w:eastAsia="Verdana" w:hAnsi="Verdana"/>
          <w:color w:val="212121"/>
          <w:sz w:val="18"/>
          <w:szCs w:val="18"/>
          <w:rtl w:val="0"/>
        </w:rPr>
        <w:t xml:space="preserve">, </w:t>
      </w:r>
      <w:hyperlink r:id="rId9">
        <w:r w:rsidDel="00000000" w:rsidR="00000000" w:rsidRPr="00000000">
          <w:rPr>
            <w:rFonts w:ascii="Verdana" w:cs="Verdana" w:eastAsia="Verdana" w:hAnsi="Verdana"/>
            <w:color w:val="006ebb"/>
            <w:sz w:val="18"/>
            <w:szCs w:val="18"/>
            <w:u w:val="single"/>
            <w:rtl w:val="0"/>
          </w:rPr>
          <w:t xml:space="preserve">[2016] O.J. No. 1234</w:t>
        </w:r>
      </w:hyperlink>
      <w:r w:rsidDel="00000000" w:rsidR="00000000" w:rsidRPr="00000000">
        <w:rPr>
          <w:rFonts w:ascii="Verdana" w:cs="Verdana" w:eastAsia="Verdana" w:hAnsi="Verdana"/>
          <w:color w:val="212121"/>
          <w:sz w:val="18"/>
          <w:szCs w:val="18"/>
          <w:rtl w:val="0"/>
        </w:rPr>
        <w:t xml:space="preserve"> para 39). Accordingly, to determine which proceeding is appropriate, one must ask against whom the alleged harm has been caused. If the harm has been caused to the company alone, then a </w:t>
      </w:r>
      <w:r w:rsidDel="00000000" w:rsidR="00000000" w:rsidRPr="00000000">
        <w:rPr>
          <w:rFonts w:ascii="Verdana" w:cs="Verdana" w:eastAsia="Verdana" w:hAnsi="Verdana"/>
          <w:b w:val="1"/>
          <w:bCs w:val="1"/>
          <w:color w:val="212121"/>
          <w:sz w:val="18"/>
          <w:szCs w:val="18"/>
          <w:shd w:fill="fff099" w:val="clear"/>
          <w:rtl w:val="0"/>
        </w:rPr>
        <w:t xml:space="preserve">derivative action</w:t>
      </w:r>
      <w:r w:rsidDel="00000000" w:rsidR="00000000" w:rsidRPr="00000000">
        <w:rPr>
          <w:rFonts w:ascii="Verdana" w:cs="Verdana" w:eastAsia="Verdana" w:hAnsi="Verdana"/>
          <w:color w:val="212121"/>
          <w:sz w:val="18"/>
          <w:szCs w:val="18"/>
          <w:rtl w:val="0"/>
        </w:rPr>
        <w:t xml:space="preserve"> is appropriate. If the harm is to one or more shareholders in their capacity as such, then an oppression claim may be appropriate.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its decision in </w:t>
      </w:r>
      <w:r w:rsidDel="00000000" w:rsidR="00000000" w:rsidRPr="00000000">
        <w:rPr>
          <w:rFonts w:ascii="Verdana" w:cs="Verdana" w:eastAsia="Verdana" w:hAnsi="Verdana"/>
          <w:i w:val="1"/>
          <w:iCs w:val="1"/>
          <w:color w:val="212121"/>
          <w:sz w:val="18"/>
          <w:szCs w:val="18"/>
          <w:rtl w:val="0"/>
        </w:rPr>
        <w:t xml:space="preserve">Malata Group (HK) Ltd. v. Jung</w:t>
      </w:r>
      <w:r w:rsidDel="00000000" w:rsidR="00000000" w:rsidRPr="00000000">
        <w:rPr>
          <w:rFonts w:ascii="Verdana" w:cs="Verdana" w:eastAsia="Verdana" w:hAnsi="Verdana"/>
          <w:color w:val="212121"/>
          <w:sz w:val="18"/>
          <w:szCs w:val="18"/>
          <w:rtl w:val="0"/>
        </w:rPr>
        <w:t xml:space="preserve">, </w:t>
      </w:r>
      <w:hyperlink r:id="rId10">
        <w:r w:rsidDel="00000000" w:rsidR="00000000" w:rsidRPr="00000000">
          <w:rPr>
            <w:rFonts w:ascii="Verdana" w:cs="Verdana" w:eastAsia="Verdana" w:hAnsi="Verdana"/>
            <w:color w:val="006ebb"/>
            <w:sz w:val="18"/>
            <w:szCs w:val="18"/>
            <w:u w:val="single"/>
            <w:rtl w:val="0"/>
          </w:rPr>
          <w:t xml:space="preserve">[2008] O.J. No. 519</w:t>
        </w:r>
      </w:hyperlink>
      <w:r w:rsidDel="00000000" w:rsidR="00000000" w:rsidRPr="00000000">
        <w:rPr>
          <w:rFonts w:ascii="Verdana" w:cs="Verdana" w:eastAsia="Verdana" w:hAnsi="Verdana"/>
          <w:color w:val="212121"/>
          <w:sz w:val="18"/>
          <w:szCs w:val="18"/>
          <w:rtl w:val="0"/>
        </w:rPr>
        <w:t xml:space="preserve"> (C.A.), the Ontario Court of Appeal examined the relationship between a </w:t>
      </w:r>
      <w:r w:rsidDel="00000000" w:rsidR="00000000" w:rsidRPr="00000000">
        <w:rPr>
          <w:rFonts w:ascii="Verdana" w:cs="Verdana" w:eastAsia="Verdana" w:hAnsi="Verdana"/>
          <w:b w:val="1"/>
          <w:bCs w:val="1"/>
          <w:color w:val="212121"/>
          <w:sz w:val="18"/>
          <w:szCs w:val="18"/>
          <w:shd w:fill="fff099" w:val="clear"/>
          <w:rtl w:val="0"/>
        </w:rPr>
        <w:t xml:space="preserve">derivative action</w:t>
      </w:r>
      <w:r w:rsidDel="00000000" w:rsidR="00000000" w:rsidRPr="00000000">
        <w:rPr>
          <w:rFonts w:ascii="Verdana" w:cs="Verdana" w:eastAsia="Verdana" w:hAnsi="Verdana"/>
          <w:color w:val="212121"/>
          <w:sz w:val="18"/>
          <w:szCs w:val="18"/>
          <w:rtl w:val="0"/>
        </w:rPr>
        <w:t xml:space="preserve"> and an oppression </w:t>
      </w:r>
      <w:r w:rsidDel="00000000" w:rsidR="00000000" w:rsidRPr="00000000">
        <w:rPr>
          <w:rFonts w:ascii="Verdana" w:cs="Verdana" w:eastAsia="Verdana" w:hAnsi="Verdana"/>
          <w:b w:val="1"/>
          <w:bCs w:val="1"/>
          <w:color w:val="212121"/>
          <w:sz w:val="18"/>
          <w:szCs w:val="18"/>
          <w:shd w:fill="fff099" w:val="clear"/>
          <w:rtl w:val="0"/>
        </w:rPr>
        <w:t xml:space="preserve">action</w:t>
      </w:r>
      <w:r w:rsidDel="00000000" w:rsidR="00000000" w:rsidRPr="00000000">
        <w:rPr>
          <w:rFonts w:ascii="Verdana" w:cs="Verdana" w:eastAsia="Verdana" w:hAnsi="Verdana"/>
          <w:color w:val="212121"/>
          <w:sz w:val="18"/>
          <w:szCs w:val="18"/>
          <w:rtl w:val="0"/>
        </w:rPr>
        <w:t xml:space="preserve">. The Court of Appeal confirmed that there is not generally "a bright-line distinction" between the claims that may be made in a </w:t>
      </w:r>
      <w:r w:rsidDel="00000000" w:rsidR="00000000" w:rsidRPr="00000000">
        <w:rPr>
          <w:rFonts w:ascii="Verdana" w:cs="Verdana" w:eastAsia="Verdana" w:hAnsi="Verdana"/>
          <w:b w:val="1"/>
          <w:bCs w:val="1"/>
          <w:color w:val="212121"/>
          <w:sz w:val="18"/>
          <w:szCs w:val="18"/>
          <w:shd w:fill="fff099" w:val="clear"/>
          <w:rtl w:val="0"/>
        </w:rPr>
        <w:t xml:space="preserve">derivative action</w:t>
      </w:r>
      <w:r w:rsidDel="00000000" w:rsidR="00000000" w:rsidRPr="00000000">
        <w:rPr>
          <w:rFonts w:ascii="Verdana" w:cs="Verdana" w:eastAsia="Verdana" w:hAnsi="Verdana"/>
          <w:color w:val="212121"/>
          <w:sz w:val="18"/>
          <w:szCs w:val="18"/>
          <w:rtl w:val="0"/>
        </w:rPr>
        <w:t xml:space="preserve"> and those that may be made in an oppression </w:t>
      </w:r>
      <w:r w:rsidDel="00000000" w:rsidR="00000000" w:rsidRPr="00000000">
        <w:rPr>
          <w:rFonts w:ascii="Verdana" w:cs="Verdana" w:eastAsia="Verdana" w:hAnsi="Verdana"/>
          <w:b w:val="1"/>
          <w:bCs w:val="1"/>
          <w:color w:val="212121"/>
          <w:sz w:val="18"/>
          <w:szCs w:val="18"/>
          <w:shd w:fill="fff099" w:val="clear"/>
          <w:rtl w:val="0"/>
        </w:rPr>
        <w:t xml:space="preserve">action</w:t>
      </w:r>
      <w:r w:rsidDel="00000000" w:rsidR="00000000" w:rsidRPr="00000000">
        <w:rPr>
          <w:rFonts w:ascii="Verdana" w:cs="Verdana" w:eastAsia="Verdana" w:hAnsi="Verdana"/>
          <w:color w:val="212121"/>
          <w:sz w:val="18"/>
          <w:szCs w:val="18"/>
          <w:rtl w:val="0"/>
        </w:rPr>
        <w:t xml:space="preserve">. The Court noted that the oppression section of the Ontario </w:t>
      </w:r>
      <w:r w:rsidDel="00000000" w:rsidR="00000000" w:rsidRPr="00000000">
        <w:rPr>
          <w:rFonts w:ascii="Verdana" w:cs="Verdana" w:eastAsia="Verdana" w:hAnsi="Verdana"/>
          <w:i w:val="1"/>
          <w:iCs w:val="1"/>
          <w:color w:val="212121"/>
          <w:sz w:val="18"/>
          <w:szCs w:val="18"/>
          <w:rtl w:val="0"/>
        </w:rPr>
        <w:t xml:space="preserve">Business Corporations Act</w:t>
      </w:r>
      <w:r w:rsidDel="00000000" w:rsidR="00000000" w:rsidRPr="00000000">
        <w:rPr>
          <w:rFonts w:ascii="Verdana" w:cs="Verdana" w:eastAsia="Verdana" w:hAnsi="Verdana"/>
          <w:color w:val="212121"/>
          <w:sz w:val="18"/>
          <w:szCs w:val="18"/>
          <w:rtl w:val="0"/>
        </w:rPr>
        <w:t xml:space="preserve">, R.S.O. 1990, c. B.16 ("OBCA"), "is drawn in broad language, both in terms of the harms it addresses and the non-exhaustive list of remedies it contemplates." The Court observed that </w:t>
      </w:r>
      <w:r w:rsidDel="00000000" w:rsidR="00000000" w:rsidRPr="00000000">
        <w:rPr>
          <w:rFonts w:ascii="Verdana" w:cs="Verdana" w:eastAsia="Verdana" w:hAnsi="Verdana"/>
          <w:b w:val="1"/>
          <w:bCs w:val="1"/>
          <w:color w:val="212121"/>
          <w:sz w:val="18"/>
          <w:szCs w:val="18"/>
          <w:shd w:fill="fff099" w:val="clear"/>
          <w:rtl w:val="0"/>
        </w:rPr>
        <w:t xml:space="preserve">derivative</w:t>
      </w:r>
      <w:r w:rsidDel="00000000" w:rsidR="00000000" w:rsidRPr="00000000">
        <w:rPr>
          <w:rFonts w:ascii="Verdana" w:cs="Verdana" w:eastAsia="Verdana" w:hAnsi="Verdana"/>
          <w:color w:val="212121"/>
          <w:sz w:val="18"/>
          <w:szCs w:val="18"/>
          <w:rtl w:val="0"/>
        </w:rPr>
        <w:t xml:space="preserve"> and oppression claims will often overlap "where directors in closely held corporations engage in self-dealing to the detriment of the corporation and the shareholders or the creditors".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closely-held companies, it will often be the case that the </w:t>
      </w:r>
      <w:r w:rsidDel="00000000" w:rsidR="00000000" w:rsidRPr="00000000">
        <w:rPr>
          <w:rFonts w:ascii="Verdana" w:cs="Verdana" w:eastAsia="Verdana" w:hAnsi="Verdana"/>
          <w:b w:val="1"/>
          <w:bCs w:val="1"/>
          <w:color w:val="212121"/>
          <w:sz w:val="18"/>
          <w:szCs w:val="18"/>
          <w:shd w:fill="fff099" w:val="clear"/>
          <w:rtl w:val="0"/>
        </w:rPr>
        <w:t xml:space="preserve">oppression remedy</w:t>
      </w:r>
      <w:r w:rsidDel="00000000" w:rsidR="00000000" w:rsidRPr="00000000">
        <w:rPr>
          <w:rFonts w:ascii="Verdana" w:cs="Verdana" w:eastAsia="Verdana" w:hAnsi="Verdana"/>
          <w:color w:val="212121"/>
          <w:sz w:val="18"/>
          <w:szCs w:val="18"/>
          <w:rtl w:val="0"/>
        </w:rPr>
        <w:t xml:space="preserve"> is available even where the harm can theoretically be viewed as harm to the company itself. This will be the case where the harm done to the company impacts a shareholder directly. However, with public companies, where any potential harm to shareholders will be harm suffered by all shareholders of a particular class of shares, it is likely that the harm done to the company can only be redressed by a shareholder commencing a </w:t>
      </w:r>
      <w:r w:rsidDel="00000000" w:rsidR="00000000" w:rsidRPr="00000000">
        <w:rPr>
          <w:rFonts w:ascii="Verdana" w:cs="Verdana" w:eastAsia="Verdana" w:hAnsi="Verdana"/>
          <w:b w:val="1"/>
          <w:bCs w:val="1"/>
          <w:color w:val="212121"/>
          <w:sz w:val="18"/>
          <w:szCs w:val="18"/>
          <w:shd w:fill="fff099" w:val="clear"/>
          <w:rtl w:val="0"/>
        </w:rPr>
        <w:t xml:space="preserve">derivative action</w:t>
      </w:r>
      <w:r w:rsidDel="00000000" w:rsidR="00000000" w:rsidRPr="00000000">
        <w:rPr>
          <w:rFonts w:ascii="Verdana" w:cs="Verdana" w:eastAsia="Verdana" w:hAnsi="Verdana"/>
          <w:color w:val="212121"/>
          <w:sz w:val="18"/>
          <w:szCs w:val="18"/>
          <w:rtl w:val="0"/>
        </w:rPr>
        <w:t xml:space="preserve"> with leave of the court.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Sdfa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he7hem7wve9f" w:id="5"/>
      <w:bookmarkEnd w:id="5"/>
      <w:r w:rsidDel="00000000" w:rsidR="00000000" w:rsidRPr="00000000">
        <w:rPr>
          <w:rtl w:val="0"/>
        </w:rPr>
        <w:t xml:space="preserve">Derivative Action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note examines </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What is a directive action </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who may seek leave to bring a derivative action complaint;</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outlines the preconditions of commencing a derivative action;</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the broad range of remedies that are available to the court.</w:t>
      </w:r>
    </w:p>
    <w:p w:rsidR="00000000" w:rsidDel="00000000" w:rsidP="00000000" w:rsidRDefault="00000000" w:rsidRPr="00000000" w14:paraId="00000029">
      <w:pPr>
        <w:spacing w:before="0" w:line="408" w:lineRule="auto"/>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2A">
      <w:pPr>
        <w:pStyle w:val="Heading2"/>
        <w:rPr/>
      </w:pPr>
      <w:bookmarkStart w:colFirst="0" w:colLast="0" w:name="_eywugzsla5bc" w:id="6"/>
      <w:bookmarkEnd w:id="6"/>
      <w:r w:rsidDel="00000000" w:rsidR="00000000" w:rsidRPr="00000000">
        <w:rPr>
          <w:rtl w:val="0"/>
        </w:rPr>
        <w:t xml:space="preserve">What Is a Derivative Action?</w:t>
      </w:r>
    </w:p>
    <w:p w:rsidR="00000000" w:rsidDel="00000000" w:rsidP="00000000" w:rsidRDefault="00000000" w:rsidRPr="00000000" w14:paraId="0000002B">
      <w:pPr>
        <w:rPr/>
      </w:pPr>
      <w:r w:rsidDel="00000000" w:rsidR="00000000" w:rsidRPr="00000000">
        <w:rPr>
          <w:rtl w:val="0"/>
        </w:rPr>
        <w:t xml:space="preserve">A derivative action permits a shareholder or other "complainant" to advance an action on behalf of the corporation when the corporation refuses to bring the action itself.</w:t>
      </w:r>
    </w:p>
    <w:p w:rsidR="00000000" w:rsidDel="00000000" w:rsidP="00000000" w:rsidRDefault="00000000" w:rsidRPr="00000000" w14:paraId="0000002C">
      <w:pPr>
        <w:rPr/>
      </w:pPr>
      <w:r w:rsidDel="00000000" w:rsidR="00000000" w:rsidRPr="00000000">
        <w:rPr>
          <w:rtl w:val="0"/>
        </w:rPr>
        <w:t xml:space="preserve">The action is available to rectify wrongs done to the corporation itself, rather than to the individual shareholder. The intent of the remedy is to circumvent the problem of management not taking action to rectify a wrong where they may have been involved and responsible for the wrong sustained by the corporation.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pStyle w:val="Heading2"/>
        <w:rPr/>
      </w:pPr>
      <w:bookmarkStart w:colFirst="0" w:colLast="0" w:name="_ltzinpf0yw57" w:id="7"/>
      <w:bookmarkEnd w:id="7"/>
      <w:r w:rsidDel="00000000" w:rsidR="00000000" w:rsidRPr="00000000">
        <w:rPr>
          <w:rtl w:val="0"/>
        </w:rPr>
        <w:t xml:space="preserve">Who May Seek Leave to Bring a Derivative Action?</w:t>
      </w:r>
    </w:p>
    <w:p w:rsidR="00000000" w:rsidDel="00000000" w:rsidP="00000000" w:rsidRDefault="00000000" w:rsidRPr="00000000" w14:paraId="0000002F">
      <w:pPr>
        <w:rPr/>
      </w:pPr>
      <w:r w:rsidDel="00000000" w:rsidR="00000000" w:rsidRPr="00000000">
        <w:rPr>
          <w:rtl w:val="0"/>
        </w:rPr>
        <w:t xml:space="preserve">A derivative action is brought forth by a "complainant" (OBCA, s. </w:t>
      </w:r>
      <w:hyperlink r:id="rId11">
        <w:r w:rsidDel="00000000" w:rsidR="00000000" w:rsidRPr="00000000">
          <w:rPr>
            <w:color w:val="1155cc"/>
            <w:u w:val="single"/>
            <w:rtl w:val="0"/>
          </w:rPr>
          <w:t xml:space="preserve">246</w:t>
        </w:r>
      </w:hyperlink>
      <w:r w:rsidDel="00000000" w:rsidR="00000000" w:rsidRPr="00000000">
        <w:rPr>
          <w:rtl w:val="0"/>
        </w:rPr>
        <w:t xml:space="preserve">(1)).</w:t>
      </w:r>
    </w:p>
    <w:p w:rsidR="00000000" w:rsidDel="00000000" w:rsidP="00000000" w:rsidRDefault="00000000" w:rsidRPr="00000000" w14:paraId="00000030">
      <w:pPr>
        <w:rPr/>
      </w:pPr>
      <w:r w:rsidDel="00000000" w:rsidR="00000000" w:rsidRPr="00000000">
        <w:rPr>
          <w:rtl w:val="0"/>
        </w:rPr>
        <w:t xml:space="preserve">Pursuant to s. </w:t>
      </w:r>
      <w:hyperlink r:id="rId12">
        <w:r w:rsidDel="00000000" w:rsidR="00000000" w:rsidRPr="00000000">
          <w:rPr>
            <w:color w:val="1155cc"/>
            <w:u w:val="single"/>
            <w:rtl w:val="0"/>
          </w:rPr>
          <w:t xml:space="preserve">245</w:t>
        </w:r>
      </w:hyperlink>
      <w:r w:rsidDel="00000000" w:rsidR="00000000" w:rsidRPr="00000000">
        <w:rPr>
          <w:rtl w:val="0"/>
        </w:rPr>
        <w:t xml:space="preserve"> of the OBCA, a complainant is defined as: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a registered holder or beneficial owner, and a former registered holder or beneficial owner, of a security of a corporation or any of its affiliates;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a director or an officer or a former director or officer of a corporation or any of its affiliates; or</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any other person who, in the discretion of the court, is a proper person to make an application on this part.</w:t>
      </w:r>
    </w:p>
    <w:p w:rsidR="00000000" w:rsidDel="00000000" w:rsidP="00000000" w:rsidRDefault="00000000" w:rsidRPr="00000000" w14:paraId="00000037">
      <w:pPr>
        <w:rPr/>
      </w:pPr>
      <w:r w:rsidDel="00000000" w:rsidR="00000000" w:rsidRPr="00000000">
        <w:rPr>
          <w:rtl w:val="0"/>
        </w:rPr>
        <w:t xml:space="preserve">The definition of complainant makes clear that a current or former shareholder and a current or former director or officer has standing to bring or to seek leave to commence a derivative action.</w:t>
      </w:r>
    </w:p>
    <w:p w:rsidR="00000000" w:rsidDel="00000000" w:rsidP="00000000" w:rsidRDefault="00000000" w:rsidRPr="00000000" w14:paraId="00000038">
      <w:pPr>
        <w:rPr/>
      </w:pPr>
      <w:r w:rsidDel="00000000" w:rsidR="00000000" w:rsidRPr="00000000">
        <w:rPr>
          <w:rtl w:val="0"/>
        </w:rPr>
        <w:t xml:space="preserve">The court has a very broad discretion to determine, based on an analysis of the entire contextual or factual background whether someone is a proper person to bring a derivative action (see Fedel v. Tan, </w:t>
      </w:r>
      <w:hyperlink r:id="rId13">
        <w:r w:rsidDel="00000000" w:rsidR="00000000" w:rsidRPr="00000000">
          <w:rPr>
            <w:color w:val="1155cc"/>
            <w:u w:val="single"/>
            <w:rtl w:val="0"/>
          </w:rPr>
          <w:t xml:space="preserve">[2010] O.J. No. 2839</w:t>
        </w:r>
      </w:hyperlink>
      <w:r w:rsidDel="00000000" w:rsidR="00000000" w:rsidRPr="00000000">
        <w:rPr>
          <w:rtl w:val="0"/>
        </w:rPr>
        <w:t xml:space="preserve"> (C.A.)).</w:t>
      </w:r>
    </w:p>
    <w:p w:rsidR="00000000" w:rsidDel="00000000" w:rsidP="00000000" w:rsidRDefault="00000000" w:rsidRPr="00000000" w14:paraId="00000039">
      <w:pPr>
        <w:pStyle w:val="Heading2"/>
        <w:rPr/>
      </w:pPr>
      <w:bookmarkStart w:colFirst="0" w:colLast="0" w:name="_mcgcwinze4zh" w:id="8"/>
      <w:bookmarkEnd w:id="8"/>
      <w:r w:rsidDel="00000000" w:rsidR="00000000" w:rsidRPr="00000000">
        <w:rPr>
          <w:rtl w:val="0"/>
        </w:rPr>
      </w:r>
    </w:p>
    <w:p w:rsidR="00000000" w:rsidDel="00000000" w:rsidP="00000000" w:rsidRDefault="00000000" w:rsidRPr="00000000" w14:paraId="0000003A">
      <w:pPr>
        <w:pStyle w:val="Heading2"/>
        <w:rPr/>
      </w:pPr>
      <w:bookmarkStart w:colFirst="0" w:colLast="0" w:name="_z36cqeiv7e68" w:id="9"/>
      <w:bookmarkEnd w:id="9"/>
      <w:r w:rsidDel="00000000" w:rsidR="00000000" w:rsidRPr="00000000">
        <w:rPr>
          <w:rtl w:val="0"/>
        </w:rPr>
        <w:t xml:space="preserve">Preconditions to Commencing a Derivative Action</w:t>
      </w:r>
    </w:p>
    <w:p w:rsidR="00000000" w:rsidDel="00000000" w:rsidP="00000000" w:rsidRDefault="00000000" w:rsidRPr="00000000" w14:paraId="0000003B">
      <w:pPr>
        <w:rPr/>
      </w:pPr>
      <w:r w:rsidDel="00000000" w:rsidR="00000000" w:rsidRPr="00000000">
        <w:rPr>
          <w:rtl w:val="0"/>
        </w:rPr>
        <w:t xml:space="preserve">Leave is required to commence a derivative action. Section </w:t>
      </w:r>
      <w:hyperlink r:id="rId14">
        <w:r w:rsidDel="00000000" w:rsidR="00000000" w:rsidRPr="00000000">
          <w:rPr>
            <w:color w:val="1155cc"/>
            <w:u w:val="single"/>
            <w:rtl w:val="0"/>
          </w:rPr>
          <w:t xml:space="preserve">246</w:t>
        </w:r>
      </w:hyperlink>
      <w:r w:rsidDel="00000000" w:rsidR="00000000" w:rsidRPr="00000000">
        <w:rPr>
          <w:rtl w:val="0"/>
        </w:rPr>
        <w:t xml:space="preserve"> of the OBCA, provides that a complainant may apply to the court for leave to:</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bring an action in the name and on behalf of a corporation or any of its subsidies; or</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intervene in an action to which any such body corporate is a party, for the purpose of prosecuting, defending or discontinuing the action on behalf of the body corporate.</w:t>
      </w:r>
    </w:p>
    <w:p w:rsidR="00000000" w:rsidDel="00000000" w:rsidP="00000000" w:rsidRDefault="00000000" w:rsidRPr="00000000" w14:paraId="00000040">
      <w:pPr>
        <w:rPr/>
      </w:pPr>
      <w:r w:rsidDel="00000000" w:rsidR="00000000" w:rsidRPr="00000000">
        <w:rPr>
          <w:rtl w:val="0"/>
        </w:rPr>
        <w:t xml:space="preserve">However, no action may be brought and no intervention in an action may be made unless: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the complainant has given 14 days' notice to the directors of the corporation or its subsidiary of the complainant's intention to apply to the court; and</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the court is satisfied that:</w:t>
      </w:r>
    </w:p>
    <w:p w:rsidR="00000000" w:rsidDel="00000000" w:rsidP="00000000" w:rsidRDefault="00000000" w:rsidRPr="00000000" w14:paraId="00000045">
      <w:pPr>
        <w:numPr>
          <w:ilvl w:val="1"/>
          <w:numId w:val="3"/>
        </w:numPr>
        <w:ind w:left="1440" w:hanging="360"/>
      </w:pPr>
      <w:r w:rsidDel="00000000" w:rsidR="00000000" w:rsidRPr="00000000">
        <w:rPr>
          <w:rFonts w:ascii="Arial Unicode MS" w:cs="Arial Unicode MS" w:eastAsia="Arial Unicode MS" w:hAnsi="Arial Unicode MS"/>
          <w:rtl w:val="0"/>
        </w:rPr>
        <w:t xml:space="preserve">○ the directors of the corporation or its subsidiary will not bring, diligently prosecute or defend or discontinue the action;</w:t>
      </w:r>
    </w:p>
    <w:p w:rsidR="00000000" w:rsidDel="00000000" w:rsidP="00000000" w:rsidRDefault="00000000" w:rsidRPr="00000000" w14:paraId="00000046">
      <w:pPr>
        <w:numPr>
          <w:ilvl w:val="1"/>
          <w:numId w:val="3"/>
        </w:numPr>
        <w:ind w:left="1440" w:hanging="360"/>
      </w:pPr>
      <w:r w:rsidDel="00000000" w:rsidR="00000000" w:rsidRPr="00000000">
        <w:rPr>
          <w:rFonts w:ascii="Arial Unicode MS" w:cs="Arial Unicode MS" w:eastAsia="Arial Unicode MS" w:hAnsi="Arial Unicode MS"/>
          <w:rtl w:val="0"/>
        </w:rPr>
        <w:t xml:space="preserve">○ the complainant is acting in good faith; and</w:t>
      </w:r>
    </w:p>
    <w:p w:rsidR="00000000" w:rsidDel="00000000" w:rsidP="00000000" w:rsidRDefault="00000000" w:rsidRPr="00000000" w14:paraId="00000047">
      <w:pPr>
        <w:numPr>
          <w:ilvl w:val="1"/>
          <w:numId w:val="3"/>
        </w:numPr>
        <w:ind w:left="1440" w:hanging="360"/>
      </w:pPr>
      <w:r w:rsidDel="00000000" w:rsidR="00000000" w:rsidRPr="00000000">
        <w:rPr>
          <w:rFonts w:ascii="Arial Unicode MS" w:cs="Arial Unicode MS" w:eastAsia="Arial Unicode MS" w:hAnsi="Arial Unicode MS"/>
          <w:rtl w:val="0"/>
        </w:rPr>
        <w:t xml:space="preserve">○ it appears to be in the interests of the corporation or its subsidiary that the action be brought, prosecuted, defended or discontinued.</w:t>
      </w:r>
    </w:p>
    <w:p w:rsidR="00000000" w:rsidDel="00000000" w:rsidP="00000000" w:rsidRDefault="00000000" w:rsidRPr="00000000" w14:paraId="00000048">
      <w:pPr>
        <w:rPr/>
      </w:pPr>
      <w:r w:rsidDel="00000000" w:rsidR="00000000" w:rsidRPr="00000000">
        <w:rPr>
          <w:rtl w:val="0"/>
        </w:rPr>
        <w:t xml:space="preserve">It has been held that a complainant is not acting in good faith where they have a collateral or improper motive in bringing forward a derivativeaction. In Hevey v, Wonderland Commercial, et. al., 2021 ONSC 540, a complainant brought an application for leave to commence a derivative action in order to remove certain directors, which were the complainant's own children, so that the complainant could ultimately gain a tactical advantage in parallel, matrimonial proceedings. The court denied the application for leave on the grounds that the complainant was not acting in good faith, stating at para 56:</w:t>
      </w:r>
    </w:p>
    <w:p w:rsidR="00000000" w:rsidDel="00000000" w:rsidP="00000000" w:rsidRDefault="00000000" w:rsidRPr="00000000" w14:paraId="00000049">
      <w:pPr>
        <w:rPr/>
      </w:pPr>
      <w:r w:rsidDel="00000000" w:rsidR="00000000" w:rsidRPr="00000000">
        <w:rPr>
          <w:rtl w:val="0"/>
        </w:rPr>
        <w:t xml:space="preserve">A derivative action which is motivated less by potential return to the corporation and more by the prospect of a potential tactical advantage against the respondent, is anathema to the requirement of good faith.</w:t>
      </w:r>
    </w:p>
    <w:p w:rsidR="00000000" w:rsidDel="00000000" w:rsidP="00000000" w:rsidRDefault="00000000" w:rsidRPr="00000000" w14:paraId="0000004A">
      <w:pPr>
        <w:pStyle w:val="Heading2"/>
        <w:rPr/>
      </w:pPr>
      <w:bookmarkStart w:colFirst="0" w:colLast="0" w:name="_l4n3qfbnv16k" w:id="10"/>
      <w:bookmarkEnd w:id="10"/>
      <w:r w:rsidDel="00000000" w:rsidR="00000000" w:rsidRPr="00000000">
        <w:rPr>
          <w:rtl w:val="0"/>
        </w:rPr>
        <w:t xml:space="preserve">Remedies Available in a Derivative Action</w:t>
      </w:r>
    </w:p>
    <w:p w:rsidR="00000000" w:rsidDel="00000000" w:rsidP="00000000" w:rsidRDefault="00000000" w:rsidRPr="00000000" w14:paraId="0000004B">
      <w:pPr>
        <w:rPr/>
      </w:pPr>
      <w:r w:rsidDel="00000000" w:rsidR="00000000" w:rsidRPr="00000000">
        <w:rPr>
          <w:rtl w:val="0"/>
        </w:rPr>
        <w:t xml:space="preserve">The court is empowered with a broad discretion in fashioning a remedy in response to a derivative action. The court may at any time make any order it thinks fit, including, without limiting the generality of the foregoing:</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an order authorizing the complainant or any other person to control the conduct of the action;</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an order giving directions for the conduct of the action;</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an order directing that any amount adjudged payable by a defendant in the action shall be paid, in whole or in part, directly to former and present security holders of the corporation or its subsidiary instead of to the corporation or its subsidiary; and</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an order requiring the corporation or its subsidiary to pay reasonable legal fees and any other costs reasonably incurred by the complainant in connection with the action.</w:t>
      </w:r>
    </w:p>
    <w:p w:rsidR="00000000" w:rsidDel="00000000" w:rsidP="00000000" w:rsidRDefault="00000000" w:rsidRPr="00000000" w14:paraId="00000054">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0"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3"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2"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5" Type="http://schemas.openxmlformats.org/officeDocument/2006/relationships/header" Target="header1.xml"/><Relationship Id="rId14"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18" Type="http://schemas.openxmlformats.org/officeDocument/2006/relationships/footer" Target="footer1.xml"/><Relationship Id="rId7"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8"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