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4"/>
        <w:spacing w:before="0" w:line="240" w:lineRule="auto"/>
        <w:jc w:val="right"/>
        <w:rPr>
          <w:rFonts w:ascii="Times New Roman" w:cs="Times New Roman" w:eastAsia="Times New Roman" w:hAnsi="Times New Roman"/>
          <w:b w:val="1"/>
          <w:bCs w:val="1"/>
          <w:color w:val="08122b"/>
          <w:u w:val="none"/>
        </w:rPr>
      </w:pPr>
      <w:bookmarkStart w:colFirst="0" w:colLast="0" w:name="_1yfckedhpjf4" w:id="0"/>
      <w:bookmarkEnd w:id="0"/>
      <w:r w:rsidDel="00000000" w:rsidR="00000000" w:rsidRPr="00000000">
        <w:rPr>
          <w:rFonts w:ascii="Times New Roman" w:cs="Times New Roman" w:eastAsia="Times New Roman" w:hAnsi="Times New Roman"/>
          <w:b w:val="1"/>
          <w:bCs w:val="1"/>
          <w:color w:val="08122b"/>
          <w:u w:val="none"/>
          <w:rtl w:val="0"/>
        </w:rPr>
        <w:t xml:space="preserve">Matthew AJ Levine Professional Corporation</w:t>
      </w:r>
    </w:p>
    <w:p w:rsidR="00000000" w:rsidDel="00000000" w:rsidP="00000000" w:rsidRDefault="00000000" w:rsidRPr="00000000" w14:paraId="00000002">
      <w:pPr>
        <w:spacing w:before="0" w:line="240" w:lineRule="auto"/>
        <w:jc w:val="right"/>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Suite 700 - 1235 Bay Street</w:t>
      </w:r>
    </w:p>
    <w:p w:rsidR="00000000" w:rsidDel="00000000" w:rsidP="00000000" w:rsidRDefault="00000000" w:rsidRPr="00000000" w14:paraId="00000003">
      <w:pPr>
        <w:spacing w:before="0" w:line="240" w:lineRule="auto"/>
        <w:jc w:val="right"/>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Yorkville, Toronto, M5R 3K4 </w:t>
      </w:r>
    </w:p>
    <w:p w:rsidR="00000000" w:rsidDel="00000000" w:rsidP="00000000" w:rsidRDefault="00000000" w:rsidRPr="00000000" w14:paraId="00000004">
      <w:pPr>
        <w:spacing w:before="0" w:line="240" w:lineRule="auto"/>
        <w:jc w:val="right"/>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+1 (647) 598-2598</w:t>
      </w:r>
    </w:p>
    <w:p w:rsidR="00000000" w:rsidDel="00000000" w:rsidP="00000000" w:rsidRDefault="00000000" w:rsidRPr="00000000" w14:paraId="00000005">
      <w:pPr>
        <w:spacing w:before="0" w:line="240" w:lineRule="auto"/>
        <w:jc w:val="right"/>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office@levinelegal.ca</w:t>
      </w:r>
    </w:p>
    <w:p w:rsidR="00000000" w:rsidDel="00000000" w:rsidP="00000000" w:rsidRDefault="00000000" w:rsidRPr="00000000" w14:paraId="00000006">
      <w:pPr>
        <w:spacing w:before="0" w:line="240" w:lineRule="auto"/>
        <w:jc w:val="right"/>
        <w:rPr>
          <w:rFonts w:ascii="Times New Roman" w:cs="Times New Roman" w:eastAsia="Times New Roman" w:hAnsi="Times New Roman"/>
          <w:color w:val="666666"/>
          <w:sz w:val="20"/>
          <w:szCs w:val="20"/>
        </w:rPr>
      </w:pPr>
      <w:r w:rsidDel="00000000" w:rsidR="00000000" w:rsidRPr="00000000">
        <w:rPr>
          <w:rtl w:val="0"/>
        </w:rPr>
      </w:r>
    </w:p>
    <w:p w:rsidR="00000000" w:rsidDel="00000000" w:rsidP="00000000" w:rsidRDefault="00000000" w:rsidRPr="00000000" w14:paraId="00000007">
      <w:pPr>
        <w:spacing w:before="0" w:line="240" w:lineRule="auto"/>
        <w:rPr/>
      </w:pPr>
      <w:r w:rsidDel="00000000" w:rsidR="00000000" w:rsidRPr="00000000">
        <w:rPr>
          <w:rtl w:val="0"/>
        </w:rPr>
      </w:r>
    </w:p>
    <w:p w:rsidR="00000000" w:rsidDel="00000000" w:rsidP="00000000" w:rsidRDefault="00000000" w:rsidRPr="00000000" w14:paraId="00000008">
      <w:pPr>
        <w:pStyle w:val="Title"/>
        <w:jc w:val="both"/>
        <w:rPr/>
      </w:pPr>
      <w:bookmarkStart w:colFirst="0" w:colLast="0" w:name="_ajkbc8tn9asw" w:id="1"/>
      <w:bookmarkEnd w:id="1"/>
      <w:r w:rsidDel="00000000" w:rsidR="00000000" w:rsidRPr="00000000">
        <w:rPr>
          <w:rtl w:val="0"/>
        </w:rPr>
        <w:t xml:space="preserve">Corporate Law Practice - Shareholder Litigation </w:t>
      </w:r>
    </w:p>
    <w:p w:rsidR="00000000" w:rsidDel="00000000" w:rsidP="00000000" w:rsidRDefault="00000000" w:rsidRPr="00000000" w14:paraId="00000009">
      <w:pPr>
        <w:pStyle w:val="Subtitle"/>
        <w:rPr/>
      </w:pPr>
      <w:bookmarkStart w:colFirst="0" w:colLast="0" w:name="_nqibd0adg555" w:id="2"/>
      <w:bookmarkEnd w:id="2"/>
      <w:r w:rsidDel="00000000" w:rsidR="00000000" w:rsidRPr="00000000">
        <w:rPr>
          <w:b w:val="1"/>
          <w:bCs w:val="1"/>
          <w:sz w:val="28"/>
          <w:szCs w:val="28"/>
          <w:rtl w:val="0"/>
        </w:rPr>
        <w:t xml:space="preserve">1</w:t>
      </w:r>
      <w:r w:rsidDel="00000000" w:rsidR="00000000" w:rsidRPr="00000000">
        <w:rPr>
          <w:b w:val="1"/>
          <w:bCs w:val="1"/>
          <w:sz w:val="28"/>
          <w:szCs w:val="28"/>
          <w:vertAlign w:val="superscript"/>
          <w:rtl w:val="0"/>
        </w:rPr>
        <w:t xml:space="preserve">st</w:t>
      </w:r>
      <w:r w:rsidDel="00000000" w:rsidR="00000000" w:rsidRPr="00000000">
        <w:rPr>
          <w:b w:val="1"/>
          <w:bCs w:val="1"/>
          <w:sz w:val="28"/>
          <w:szCs w:val="28"/>
          <w:rtl w:val="0"/>
        </w:rPr>
        <w:t xml:space="preserve"> January 2024</w:t>
      </w:r>
      <w:r w:rsidDel="00000000" w:rsidR="00000000" w:rsidRPr="00000000">
        <w:rPr>
          <w:rtl w:val="0"/>
        </w:rPr>
      </w:r>
    </w:p>
    <w:p w:rsidR="00000000" w:rsidDel="00000000" w:rsidP="00000000" w:rsidRDefault="00000000" w:rsidRPr="00000000" w14:paraId="0000000A">
      <w:pPr>
        <w:pStyle w:val="Heading1"/>
        <w:pageBreakBefore w:val="0"/>
        <w:pBdr>
          <w:top w:space="0" w:sz="0" w:val="nil"/>
          <w:left w:space="0" w:sz="0" w:val="nil"/>
          <w:bottom w:space="0" w:sz="0" w:val="nil"/>
          <w:right w:space="0" w:sz="0" w:val="nil"/>
          <w:between w:space="0" w:sz="0" w:val="nil"/>
        </w:pBdr>
        <w:shd w:fill="auto" w:val="clear"/>
        <w:rPr/>
      </w:pPr>
      <w:bookmarkStart w:colFirst="0" w:colLast="0" w:name="_a0x2tf3yklo3" w:id="3"/>
      <w:bookmarkEnd w:id="3"/>
      <w:r w:rsidDel="00000000" w:rsidR="00000000" w:rsidRPr="00000000">
        <w:rPr>
          <w:rtl w:val="0"/>
        </w:rPr>
      </w:r>
    </w:p>
    <w:p w:rsidR="00000000" w:rsidDel="00000000" w:rsidP="00000000" w:rsidRDefault="00000000" w:rsidRPr="00000000" w14:paraId="0000000B">
      <w:pPr>
        <w:pStyle w:val="Heading1"/>
        <w:rPr/>
      </w:pPr>
      <w:bookmarkStart w:colFirst="0" w:colLast="0" w:name="_jn0pewra950f" w:id="4"/>
      <w:bookmarkEnd w:id="4"/>
      <w:r w:rsidDel="00000000" w:rsidR="00000000" w:rsidRPr="00000000">
        <w:rPr>
          <w:rtl w:val="0"/>
        </w:rPr>
      </w:r>
    </w:p>
    <w:p w:rsidR="00000000" w:rsidDel="00000000" w:rsidP="00000000" w:rsidRDefault="00000000" w:rsidRPr="00000000" w14:paraId="0000000C">
      <w:pPr>
        <w:pStyle w:val="Heading1"/>
        <w:rPr/>
      </w:pPr>
      <w:bookmarkStart w:colFirst="0" w:colLast="0" w:name="_wqcbf4o8oehr" w:id="5"/>
      <w:bookmarkEnd w:id="5"/>
      <w:r w:rsidDel="00000000" w:rsidR="00000000" w:rsidRPr="00000000">
        <w:rPr>
          <w:rtl w:val="0"/>
        </w:rPr>
        <w:t xml:space="preserve">Derivative Actions and Oppression Claims</w:t>
      </w:r>
    </w:p>
    <w:p w:rsidR="00000000" w:rsidDel="00000000" w:rsidP="00000000" w:rsidRDefault="00000000" w:rsidRPr="00000000" w14:paraId="0000000D">
      <w:pPr>
        <w:jc w:val="both"/>
        <w:rPr/>
      </w:pPr>
      <w:r w:rsidDel="00000000" w:rsidR="00000000" w:rsidRPr="00000000">
        <w:rPr>
          <w:rtl w:val="0"/>
        </w:rPr>
        <w:t xml:space="preserve">The central distinction between derivative actions and oppressive claims, as described in the leading decision of Goldex Mines Ltd. v. Revill, </w:t>
      </w:r>
      <w:hyperlink r:id="rId6">
        <w:r w:rsidDel="00000000" w:rsidR="00000000" w:rsidRPr="00000000">
          <w:rPr>
            <w:color w:val="1155cc"/>
            <w:u w:val="single"/>
            <w:rtl w:val="0"/>
          </w:rPr>
          <w:t xml:space="preserve">[1974] O.J. No. 2245</w:t>
        </w:r>
      </w:hyperlink>
      <w:r w:rsidDel="00000000" w:rsidR="00000000" w:rsidRPr="00000000">
        <w:rPr>
          <w:rtl w:val="0"/>
        </w:rPr>
        <w:t xml:space="preserve"> (C.A.), is that an oppression claim is a personal claim made by the shareholder, while a derivative claim is not a personal claim, but rather, a claim brought in the name of the company. </w:t>
      </w:r>
    </w:p>
    <w:p w:rsidR="00000000" w:rsidDel="00000000" w:rsidP="00000000" w:rsidRDefault="00000000" w:rsidRPr="00000000" w14:paraId="0000000E">
      <w:pPr>
        <w:jc w:val="both"/>
        <w:rPr/>
      </w:pPr>
      <w:r w:rsidDel="00000000" w:rsidR="00000000" w:rsidRPr="00000000">
        <w:rPr>
          <w:rtl w:val="0"/>
        </w:rPr>
        <w:t xml:space="preserve">Unlike the oppression remedy, the derivative action does not confer any substantive rights or remedies; the person seeking to bring a derivative action has no greater rights than the corporation would have had if it brought a similar action by itself (1186708 Ontario Inc. v. Gerstein, </w:t>
      </w:r>
      <w:hyperlink r:id="rId7">
        <w:r w:rsidDel="00000000" w:rsidR="00000000" w:rsidRPr="00000000">
          <w:rPr>
            <w:color w:val="1155cc"/>
            <w:u w:val="single"/>
            <w:rtl w:val="0"/>
          </w:rPr>
          <w:t xml:space="preserve">[2016] O.J. No. 1234</w:t>
        </w:r>
      </w:hyperlink>
      <w:r w:rsidDel="00000000" w:rsidR="00000000" w:rsidRPr="00000000">
        <w:rPr>
          <w:rtl w:val="0"/>
        </w:rPr>
        <w:t xml:space="preserve"> para 39). Accordingly, to determine which proceeding is appropriate, one must ask against whom the alleged harm has been caused. If the harm has been caused to the company alone, then a derivative action is appropriate. If the harm is to one or more shareholders in their capacity as such, then an oppression claim may be appropriate.</w:t>
      </w:r>
    </w:p>
    <w:p w:rsidR="00000000" w:rsidDel="00000000" w:rsidP="00000000" w:rsidRDefault="00000000" w:rsidRPr="00000000" w14:paraId="0000000F">
      <w:pPr>
        <w:jc w:val="both"/>
        <w:rPr/>
      </w:pPr>
      <w:r w:rsidDel="00000000" w:rsidR="00000000" w:rsidRPr="00000000">
        <w:rPr>
          <w:rtl w:val="0"/>
        </w:rPr>
        <w:t xml:space="preserve">In its decision in Malata Group (HK) Ltd. v. Jung, </w:t>
      </w:r>
      <w:hyperlink r:id="rId8">
        <w:r w:rsidDel="00000000" w:rsidR="00000000" w:rsidRPr="00000000">
          <w:rPr>
            <w:color w:val="1155cc"/>
            <w:u w:val="single"/>
            <w:rtl w:val="0"/>
          </w:rPr>
          <w:t xml:space="preserve">[2008] O.J. No. 519</w:t>
        </w:r>
      </w:hyperlink>
      <w:r w:rsidDel="00000000" w:rsidR="00000000" w:rsidRPr="00000000">
        <w:rPr>
          <w:rtl w:val="0"/>
        </w:rPr>
        <w:t xml:space="preserve"> (C.A.), the Ontario Court of Appeal examined the relationship between a derivative action and an oppression action. The CoA confirmed that there is not generally "a bright-line distinction" between the claims that may be made in a derivative action and those that may be made in an oppression action. </w:t>
      </w:r>
    </w:p>
    <w:p w:rsidR="00000000" w:rsidDel="00000000" w:rsidP="00000000" w:rsidRDefault="00000000" w:rsidRPr="00000000" w14:paraId="00000010">
      <w:pPr>
        <w:numPr>
          <w:ilvl w:val="0"/>
          <w:numId w:val="1"/>
        </w:numPr>
        <w:spacing w:after="0" w:afterAutospacing="0"/>
        <w:ind w:left="720" w:hanging="360"/>
        <w:jc w:val="both"/>
        <w:rPr>
          <w:u w:val="none"/>
        </w:rPr>
      </w:pPr>
      <w:r w:rsidDel="00000000" w:rsidR="00000000" w:rsidRPr="00000000">
        <w:rPr>
          <w:rtl w:val="0"/>
        </w:rPr>
        <w:t xml:space="preserve">The </w:t>
      </w:r>
      <w:r w:rsidDel="00000000" w:rsidR="00000000" w:rsidRPr="00000000">
        <w:rPr>
          <w:rtl w:val="0"/>
        </w:rPr>
        <w:t xml:space="preserve">Court noted that </w:t>
      </w:r>
      <w:r w:rsidDel="00000000" w:rsidR="00000000" w:rsidRPr="00000000">
        <w:rPr>
          <w:u w:val="single"/>
          <w:rtl w:val="0"/>
        </w:rPr>
        <w:t xml:space="preserve">the oppression section of the Ontario Business Corporations Act, R.S.O. 1990, c. B.16 ("OBCA"), "is drawn in broad language, both in terms of the harms it addresses and the non-exhaustive list of remedies it contemplates." </w:t>
      </w:r>
    </w:p>
    <w:p w:rsidR="00000000" w:rsidDel="00000000" w:rsidP="00000000" w:rsidRDefault="00000000" w:rsidRPr="00000000" w14:paraId="00000011">
      <w:pPr>
        <w:numPr>
          <w:ilvl w:val="0"/>
          <w:numId w:val="1"/>
        </w:numPr>
        <w:spacing w:before="0" w:beforeAutospacing="0"/>
        <w:ind w:left="720" w:hanging="360"/>
        <w:jc w:val="both"/>
        <w:rPr>
          <w:u w:val="none"/>
        </w:rPr>
      </w:pPr>
      <w:r w:rsidDel="00000000" w:rsidR="00000000" w:rsidRPr="00000000">
        <w:rPr>
          <w:rtl w:val="0"/>
        </w:rPr>
        <w:t xml:space="preserve">The Court observed that </w:t>
      </w:r>
      <w:r w:rsidDel="00000000" w:rsidR="00000000" w:rsidRPr="00000000">
        <w:rPr>
          <w:u w:val="single"/>
          <w:rtl w:val="0"/>
        </w:rPr>
        <w:t xml:space="preserve">derivative and oppression claims will often overlap "where directors in closely held corporations engage in self-dealing to the detriment of the corporation and the shareholders or the creditors".</w:t>
      </w:r>
    </w:p>
    <w:p w:rsidR="00000000" w:rsidDel="00000000" w:rsidP="00000000" w:rsidRDefault="00000000" w:rsidRPr="00000000" w14:paraId="00000012">
      <w:pPr>
        <w:jc w:val="both"/>
        <w:rPr/>
      </w:pPr>
      <w:r w:rsidDel="00000000" w:rsidR="00000000" w:rsidRPr="00000000">
        <w:rPr>
          <w:rtl w:val="0"/>
        </w:rPr>
        <w:t xml:space="preserve">In closely-held companies, it will often be the case that the oppression remedy is available even where the harm can theoretically be viewed as harm to the company itself. This will be the case where the harm done to the company impacts a shareholder directly. (However, with public companies, where any potential harm to shareholders will be harm suffered by all shareholders of a particular class of shares, it is likely that the harm done to the company can only be redressed by a shareholder commencing a derivative action with leave of the court.)</w:t>
      </w:r>
    </w:p>
    <w:p w:rsidR="00000000" w:rsidDel="00000000" w:rsidP="00000000" w:rsidRDefault="00000000" w:rsidRPr="00000000" w14:paraId="00000013">
      <w:pPr>
        <w:jc w:val="both"/>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sectPr>
      <w:headerReference r:id="rId9" w:type="default"/>
      <w:headerReference r:id="rId10" w:type="first"/>
      <w:footerReference r:id="rId11" w:type="default"/>
      <w:footerReference r:id="rId12" w:type="first"/>
      <w:pgSz w:h="15840" w:w="12240" w:orient="portrait"/>
      <w:pgMar w:bottom="1080" w:top="108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Times New Roman"/>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pageBreakBefore w:val="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ind w:left="5040" w:firstLine="0"/>
      <w:rPr/>
    </w:pPr>
    <w:r w:rsidDel="00000000" w:rsidR="00000000" w:rsidRPr="00000000">
      <w:rPr/>
      <w:drawing>
        <wp:inline distB="114300" distT="114300" distL="114300" distR="114300">
          <wp:extent cx="2881313" cy="1066640"/>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881313" cy="106664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color w:val="353744"/>
        <w:sz w:val="22"/>
        <w:szCs w:val="22"/>
        <w:lang w:val="en"/>
      </w:rPr>
    </w:rPrDefault>
    <w:pPrDefault>
      <w:pPr>
        <w:spacing w:before="200"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480" w:line="240" w:lineRule="auto"/>
    </w:pPr>
    <w:rPr>
      <w:rFonts w:ascii="Proxima Nova" w:cs="Proxima Nova" w:eastAsia="Proxima Nova" w:hAnsi="Proxima Nova"/>
      <w:b w:val="1"/>
      <w:bCs w:val="1"/>
      <w:color w:val="353744"/>
      <w:sz w:val="28"/>
      <w:szCs w:val="28"/>
    </w:rPr>
  </w:style>
  <w:style w:type="paragraph" w:styleId="Heading2">
    <w:name w:val="heading 2"/>
    <w:basedOn w:val="Normal"/>
    <w:next w:val="Normal"/>
    <w:pPr>
      <w:spacing w:before="320" w:line="240" w:lineRule="auto"/>
    </w:pPr>
    <w:rPr>
      <w:b w:val="1"/>
      <w:bCs w:val="1"/>
      <w:color w:val="1d4771"/>
      <w:sz w:val="28"/>
      <w:szCs w:val="28"/>
    </w:rPr>
  </w:style>
  <w:style w:type="paragraph" w:styleId="Heading3">
    <w:name w:val="heading 3"/>
    <w:basedOn w:val="Normal"/>
    <w:next w:val="Normal"/>
    <w:pPr>
      <w:pageBreakBefore w:val="0"/>
      <w:spacing w:line="240" w:lineRule="auto"/>
    </w:pPr>
    <w:rPr>
      <w:sz w:val="26"/>
      <w:szCs w:val="26"/>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320" w:line="240" w:lineRule="auto"/>
    </w:pPr>
    <w:rPr>
      <w:color w:val="353744"/>
      <w:sz w:val="72"/>
      <w:szCs w:val="72"/>
    </w:rPr>
  </w:style>
  <w:style w:type="paragraph" w:styleId="Subtitle">
    <w:name w:val="Subtitle"/>
    <w:basedOn w:val="Normal"/>
    <w:next w:val="Normal"/>
    <w:pPr>
      <w:pageBreakBefore w:val="0"/>
      <w:spacing w:before="0" w:line="240" w:lineRule="auto"/>
    </w:pPr>
    <w:rPr>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header" Target="head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advance.lexis.com/document/lpadocument/?pdmfid=1518425&amp;crid=2e38bd39-6468-4f9c-9e7d-34f628e5e222&amp;pddocfullpath=%2Fshared%2Fdocument%2Fanalytical-materials-lpa-ca%2Furn%3AcontentItem%3A5W2R-SMG1-F4GK-M04V-00000-00&amp;pdcontentcomponentid=402959&amp;pdteaserkey=sr0&amp;pditab=allpods&amp;ecomp=L75g&amp;earg=sr0&amp;prid=1deb72ac-224e-4a8f-aea3-6464c223af0b#" TargetMode="External"/><Relationship Id="rId7" Type="http://schemas.openxmlformats.org/officeDocument/2006/relationships/hyperlink" Target="https://advance.lexis.com/document/lpadocument/?pdmfid=1518425&amp;crid=2e38bd39-6468-4f9c-9e7d-34f628e5e222&amp;pddocfullpath=%2Fshared%2Fdocument%2Fanalytical-materials-lpa-ca%2Furn%3AcontentItem%3A5W2R-SMG1-F4GK-M04V-00000-00&amp;pdcontentcomponentid=402959&amp;pdteaserkey=sr0&amp;pditab=allpods&amp;ecomp=L75g&amp;earg=sr0&amp;prid=1deb72ac-224e-4a8f-aea3-6464c223af0b#" TargetMode="External"/><Relationship Id="rId8" Type="http://schemas.openxmlformats.org/officeDocument/2006/relationships/hyperlink" Target="https://advance.lexis.com/document/lpadocument/?pdmfid=1518425&amp;crid=2e38bd39-6468-4f9c-9e7d-34f628e5e222&amp;pddocfullpath=%2Fshared%2Fdocument%2Fanalytical-materials-lpa-ca%2Furn%3AcontentItem%3A5W2R-SMG1-F4GK-M04V-00000-00&amp;pdcontentcomponentid=402959&amp;pdteaserkey=sr0&amp;pditab=allpods&amp;ecomp=L75g&amp;earg=sr0&amp;prid=1deb72ac-224e-4a8f-aea3-6464c223af0b#"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