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280" w:line="312" w:lineRule="auto"/>
        <w:rPr>
          <w:b w:val="1"/>
          <w:bCs w:val="1"/>
        </w:rPr>
      </w:pPr>
      <w:bookmarkStart w:colFirst="0" w:colLast="0" w:name="_yphn68u27noh" w:id="0"/>
      <w:bookmarkEnd w:id="0"/>
      <w:r w:rsidDel="00000000" w:rsidR="00000000" w:rsidRPr="00000000">
        <w:rPr>
          <w:b w:val="1"/>
          <w:bCs w:val="1"/>
          <w:rtl w:val="0"/>
        </w:rPr>
        <w:t xml:space="preserve">What is an Offering Memorandum?</w:t>
      </w:r>
    </w:p>
    <w:p w:rsidR="00000000" w:rsidDel="00000000" w:rsidP="00000000" w:rsidRDefault="00000000" w:rsidRPr="00000000" w14:paraId="00000002">
      <w:pPr>
        <w:spacing w:after="240" w:before="240" w:lineRule="auto"/>
        <w:rPr/>
      </w:pPr>
      <w:r w:rsidDel="00000000" w:rsidR="00000000" w:rsidRPr="00000000">
        <w:rPr>
          <w:rtl w:val="0"/>
        </w:rPr>
        <w:t xml:space="preserve">An </w:t>
      </w:r>
      <w:r w:rsidDel="00000000" w:rsidR="00000000" w:rsidRPr="00000000">
        <w:rPr>
          <w:b w:val="1"/>
          <w:bCs w:val="1"/>
          <w:rtl w:val="0"/>
        </w:rPr>
        <w:t xml:space="preserve">Offering Memorandum</w:t>
      </w:r>
      <w:r w:rsidDel="00000000" w:rsidR="00000000" w:rsidRPr="00000000">
        <w:rPr>
          <w:rtl w:val="0"/>
        </w:rPr>
        <w:t xml:space="preserve"> is a document provided to potential investors that describes the business, the offering, the terms of the securities being offered, and the associated risks. It’s essentially the issuer’s pitch book—but with legal teeth.</w:t>
      </w:r>
    </w:p>
    <w:p w:rsidR="00000000" w:rsidDel="00000000" w:rsidP="00000000" w:rsidRDefault="00000000" w:rsidRPr="00000000" w14:paraId="00000003">
      <w:pPr>
        <w:spacing w:after="240" w:before="240" w:lineRule="auto"/>
        <w:rPr/>
      </w:pPr>
      <w:r w:rsidDel="00000000" w:rsidR="00000000" w:rsidRPr="00000000">
        <w:rPr>
          <w:rtl w:val="0"/>
        </w:rPr>
        <w:t xml:space="preserve">It’s typically used </w:t>
      </w:r>
      <w:r w:rsidDel="00000000" w:rsidR="00000000" w:rsidRPr="00000000">
        <w:rPr>
          <w:b w:val="1"/>
          <w:bCs w:val="1"/>
          <w:rtl w:val="0"/>
        </w:rPr>
        <w:t xml:space="preserve">when a corporation is issuing securities privately</w:t>
      </w:r>
      <w:r w:rsidDel="00000000" w:rsidR="00000000" w:rsidRPr="00000000">
        <w:rPr>
          <w:rtl w:val="0"/>
        </w:rPr>
        <w:t xml:space="preserve">, not through a public exchange, and needs to comply with </w:t>
      </w:r>
      <w:r w:rsidDel="00000000" w:rsidR="00000000" w:rsidRPr="00000000">
        <w:rPr>
          <w:b w:val="1"/>
          <w:bCs w:val="1"/>
          <w:rtl w:val="0"/>
        </w:rPr>
        <w:t xml:space="preserve">National Instrument 45-106</w:t>
      </w:r>
      <w:r w:rsidDel="00000000" w:rsidR="00000000" w:rsidRPr="00000000">
        <w:rPr>
          <w:rtl w:val="0"/>
        </w:rPr>
        <w:t xml:space="preserve"> (</w:t>
      </w:r>
      <w:r w:rsidDel="00000000" w:rsidR="00000000" w:rsidRPr="00000000">
        <w:rPr>
          <w:i w:val="1"/>
          <w:iCs w:val="1"/>
          <w:rtl w:val="0"/>
        </w:rPr>
        <w:t xml:space="preserve">Prospectus Exemptions</w:t>
      </w:r>
      <w:r w:rsidDel="00000000" w:rsidR="00000000" w:rsidRPr="00000000">
        <w:rPr>
          <w:rtl w:val="0"/>
        </w:rPr>
        <w:t xml:space="preserve">), which governs OM exemptions in Ontario and across Canada.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spacing w:after="80" w:before="280" w:line="312" w:lineRule="auto"/>
        <w:rPr>
          <w:b w:val="1"/>
          <w:bCs w:val="1"/>
        </w:rPr>
      </w:pPr>
      <w:bookmarkStart w:colFirst="0" w:colLast="0" w:name="_au1ctisfvbws" w:id="1"/>
      <w:bookmarkEnd w:id="1"/>
      <w:r w:rsidDel="00000000" w:rsidR="00000000" w:rsidRPr="00000000">
        <w:rPr>
          <w:b w:val="1"/>
          <w:bCs w:val="1"/>
          <w:rtl w:val="0"/>
        </w:rPr>
        <w:t xml:space="preserve">When Is an Offering Memorandum Used?</w:t>
      </w:r>
    </w:p>
    <w:p w:rsidR="00000000" w:rsidDel="00000000" w:rsidP="00000000" w:rsidRDefault="00000000" w:rsidRPr="00000000" w14:paraId="00000006">
      <w:pPr>
        <w:spacing w:after="240" w:before="240" w:lineRule="auto"/>
        <w:rPr/>
      </w:pPr>
      <w:r w:rsidDel="00000000" w:rsidR="00000000" w:rsidRPr="00000000">
        <w:rPr>
          <w:rtl w:val="0"/>
        </w:rPr>
        <w:t xml:space="preserve">In Ontario, an OM is most often used under the </w:t>
      </w:r>
      <w:r w:rsidDel="00000000" w:rsidR="00000000" w:rsidRPr="00000000">
        <w:rPr>
          <w:b w:val="1"/>
          <w:bCs w:val="1"/>
          <w:rtl w:val="0"/>
        </w:rPr>
        <w:t xml:space="preserve">OM Exemption</w:t>
      </w:r>
      <w:r w:rsidDel="00000000" w:rsidR="00000000" w:rsidRPr="00000000">
        <w:rPr>
          <w:rtl w:val="0"/>
        </w:rPr>
        <w:t xml:space="preserve">, which allows companies to raise capital from certain eligible investors </w:t>
      </w:r>
      <w:r w:rsidDel="00000000" w:rsidR="00000000" w:rsidRPr="00000000">
        <w:rPr>
          <w:b w:val="1"/>
          <w:bCs w:val="1"/>
          <w:rtl w:val="0"/>
        </w:rPr>
        <w:t xml:space="preserve">without filing a prospectus</w:t>
      </w:r>
      <w:r w:rsidDel="00000000" w:rsidR="00000000" w:rsidRPr="00000000">
        <w:rPr>
          <w:rtl w:val="0"/>
        </w:rPr>
        <w:t xml:space="preserve"> with the Ontario Securities Commission (OSC). This is found under </w:t>
      </w:r>
      <w:r w:rsidDel="00000000" w:rsidR="00000000" w:rsidRPr="00000000">
        <w:rPr>
          <w:b w:val="1"/>
          <w:bCs w:val="1"/>
          <w:rtl w:val="0"/>
        </w:rPr>
        <w:t xml:space="preserve">NI 45-106, Section 2.9</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Here’s when it’s applicable:</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The investor is </w:t>
      </w:r>
      <w:r w:rsidDel="00000000" w:rsidR="00000000" w:rsidRPr="00000000">
        <w:rPr>
          <w:b w:val="1"/>
          <w:bCs w:val="1"/>
          <w:rtl w:val="0"/>
        </w:rPr>
        <w:t xml:space="preserve">not an “accredited investor”</w:t>
      </w:r>
      <w:r w:rsidDel="00000000" w:rsidR="00000000" w:rsidRPr="00000000">
        <w:rPr>
          <w:rtl w:val="0"/>
        </w:rPr>
        <w:t xml:space="preserve">, but they qualify as:</w:t>
        <w:br w:type="textWrapping"/>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An “eligible investor” (based on income or net asset thresholds), or</w:t>
        <w:br w:type="textWrapping"/>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A non-eligible investor, subject to investment caps.</w:t>
        <w:br w:type="textWrapping"/>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The issuer is raising capital from </w:t>
      </w:r>
      <w:r w:rsidDel="00000000" w:rsidR="00000000" w:rsidRPr="00000000">
        <w:rPr>
          <w:b w:val="1"/>
          <w:bCs w:val="1"/>
          <w:rtl w:val="0"/>
        </w:rPr>
        <w:t xml:space="preserve">multiple private investors</w:t>
      </w:r>
      <w:r w:rsidDel="00000000" w:rsidR="00000000" w:rsidRPr="00000000">
        <w:rPr>
          <w:rtl w:val="0"/>
        </w:rPr>
        <w:t xml:space="preserve">.</w:t>
        <w:br w:type="textWrapping"/>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spacing w:after="80" w:before="280" w:line="312" w:lineRule="auto"/>
        <w:rPr>
          <w:b w:val="1"/>
          <w:bCs w:val="1"/>
        </w:rPr>
      </w:pPr>
      <w:bookmarkStart w:colFirst="0" w:colLast="0" w:name="_ore46u32omso" w:id="2"/>
      <w:bookmarkEnd w:id="2"/>
      <w:r w:rsidDel="00000000" w:rsidR="00000000" w:rsidRPr="00000000">
        <w:rPr>
          <w:b w:val="1"/>
          <w:bCs w:val="1"/>
          <w:rtl w:val="0"/>
        </w:rPr>
        <w:t xml:space="preserve">Key Requirements for OMs in Ontario</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Mandatory Form Requirements</w:t>
      </w:r>
      <w:r w:rsidDel="00000000" w:rsidR="00000000" w:rsidRPr="00000000">
        <w:rPr>
          <w:rtl w:val="0"/>
        </w:rPr>
        <w:t xml:space="preserve">:</w:t>
        <w:br w:type="textWrapping"/>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Must use </w:t>
      </w:r>
      <w:r w:rsidDel="00000000" w:rsidR="00000000" w:rsidRPr="00000000">
        <w:rPr>
          <w:b w:val="1"/>
          <w:bCs w:val="1"/>
          <w:rtl w:val="0"/>
        </w:rPr>
        <w:t xml:space="preserve">Form 45-106F2</w:t>
      </w:r>
      <w:r w:rsidDel="00000000" w:rsidR="00000000" w:rsidRPr="00000000">
        <w:rPr>
          <w:rtl w:val="0"/>
        </w:rPr>
        <w:t xml:space="preserve"> in Ontario (not just any free-form disclosure).</w:t>
        <w:br w:type="textWrapping"/>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Must include audited financial statements unless an exemption applies.</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Plain Language, But Detailed</w:t>
      </w:r>
      <w:r w:rsidDel="00000000" w:rsidR="00000000" w:rsidRPr="00000000">
        <w:rPr>
          <w:rtl w:val="0"/>
        </w:rPr>
        <w:t xml:space="preserve">:</w:t>
        <w:br w:type="textWrapping"/>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Needs to be </w:t>
      </w:r>
      <w:r w:rsidDel="00000000" w:rsidR="00000000" w:rsidRPr="00000000">
        <w:rPr>
          <w:i w:val="1"/>
          <w:iCs w:val="1"/>
          <w:rtl w:val="0"/>
        </w:rPr>
        <w:t xml:space="preserve">comprehensible</w:t>
      </w:r>
      <w:r w:rsidDel="00000000" w:rsidR="00000000" w:rsidRPr="00000000">
        <w:rPr>
          <w:rtl w:val="0"/>
        </w:rPr>
        <w:t xml:space="preserve">, but still includes financial statements, use of proceeds, risk factors, business overview, management biographies, etc.</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Risk Disclosure is Crucial</w:t>
      </w:r>
      <w:r w:rsidDel="00000000" w:rsidR="00000000" w:rsidRPr="00000000">
        <w:rPr>
          <w:rtl w:val="0"/>
        </w:rPr>
        <w:t xml:space="preserve">:</w:t>
        <w:br w:type="textWrapping"/>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tl w:val="0"/>
        </w:rPr>
        <w:t xml:space="preserve">Material risks must be disclosed clearly and specifically. Generic risk language won’t cut it.</w:t>
        <w:br w:type="textWrapping"/>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rtl w:val="0"/>
        </w:rPr>
        <w:t xml:space="preserve">The OSC and courts will apply </w:t>
      </w:r>
      <w:r w:rsidDel="00000000" w:rsidR="00000000" w:rsidRPr="00000000">
        <w:rPr>
          <w:i w:val="1"/>
          <w:iCs w:val="1"/>
          <w:rtl w:val="0"/>
        </w:rPr>
        <w:t xml:space="preserve">contra proferentem</w:t>
      </w:r>
      <w:r w:rsidDel="00000000" w:rsidR="00000000" w:rsidRPr="00000000">
        <w:rPr>
          <w:rtl w:val="0"/>
        </w:rPr>
        <w:t xml:space="preserve">—so if the risk disclosure is vague or one-sided, it’ll be interpreted against the issuer.</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Ongoing Obligations</w:t>
      </w:r>
      <w:r w:rsidDel="00000000" w:rsidR="00000000" w:rsidRPr="00000000">
        <w:rPr>
          <w:rtl w:val="0"/>
        </w:rPr>
        <w:t xml:space="preserve">:</w:t>
        <w:br w:type="textWrapping"/>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Once you use an OM to raise money, you're usually required to </w:t>
      </w:r>
      <w:r w:rsidDel="00000000" w:rsidR="00000000" w:rsidRPr="00000000">
        <w:rPr>
          <w:b w:val="1"/>
          <w:bCs w:val="1"/>
          <w:rtl w:val="0"/>
        </w:rPr>
        <w:t xml:space="preserve">file with the OSC</w:t>
      </w:r>
      <w:r w:rsidDel="00000000" w:rsidR="00000000" w:rsidRPr="00000000">
        <w:rPr>
          <w:rtl w:val="0"/>
        </w:rPr>
        <w:t xml:space="preserve"> (Form 45-106F1) within 10 days of the distribution.</w:t>
        <w:br w:type="textWrapping"/>
      </w:r>
    </w:p>
    <w:p w:rsidR="00000000" w:rsidDel="00000000" w:rsidP="00000000" w:rsidRDefault="00000000" w:rsidRPr="00000000" w14:paraId="00000018">
      <w:pPr>
        <w:numPr>
          <w:ilvl w:val="1"/>
          <w:numId w:val="3"/>
        </w:numPr>
        <w:spacing w:after="240" w:before="0" w:beforeAutospacing="0" w:lineRule="auto"/>
        <w:ind w:left="1440" w:hanging="360"/>
      </w:pPr>
      <w:r w:rsidDel="00000000" w:rsidR="00000000" w:rsidRPr="00000000">
        <w:rPr>
          <w:rtl w:val="0"/>
        </w:rPr>
        <w:t xml:space="preserve">You must </w:t>
      </w:r>
      <w:r w:rsidDel="00000000" w:rsidR="00000000" w:rsidRPr="00000000">
        <w:rPr>
          <w:b w:val="1"/>
          <w:bCs w:val="1"/>
          <w:rtl w:val="0"/>
        </w:rPr>
        <w:t xml:space="preserve">update the OM</w:t>
      </w:r>
      <w:r w:rsidDel="00000000" w:rsidR="00000000" w:rsidRPr="00000000">
        <w:rPr>
          <w:rtl w:val="0"/>
        </w:rPr>
        <w:t xml:space="preserve"> if there's a material change before the offering closes.</w:t>
        <w:br w:type="textWrapping"/>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spacing w:after="80" w:before="280" w:line="312" w:lineRule="auto"/>
        <w:rPr>
          <w:b w:val="1"/>
          <w:bCs w:val="1"/>
        </w:rPr>
      </w:pPr>
      <w:bookmarkStart w:colFirst="0" w:colLast="0" w:name="_fldhwa7ikysj" w:id="3"/>
      <w:bookmarkEnd w:id="3"/>
      <w:r w:rsidDel="00000000" w:rsidR="00000000" w:rsidRPr="00000000">
        <w:rPr>
          <w:b w:val="1"/>
          <w:bCs w:val="1"/>
          <w:rtl w:val="0"/>
        </w:rPr>
        <w:t xml:space="preserve">Special Notes for Ontario:</w:t>
      </w:r>
    </w:p>
    <w:p w:rsidR="00000000" w:rsidDel="00000000" w:rsidP="00000000" w:rsidRDefault="00000000" w:rsidRPr="00000000" w14:paraId="0000001B">
      <w:pPr>
        <w:spacing w:after="240" w:before="240" w:lineRule="auto"/>
        <w:rPr/>
      </w:pPr>
      <w:r w:rsidDel="00000000" w:rsidR="00000000" w:rsidRPr="00000000">
        <w:rPr>
          <w:rtl w:val="0"/>
        </w:rPr>
        <w:t xml:space="preserve">Ontario introduced its version of the OM Exemption later than most provinces and added </w:t>
      </w:r>
      <w:r w:rsidDel="00000000" w:rsidR="00000000" w:rsidRPr="00000000">
        <w:rPr>
          <w:b w:val="1"/>
          <w:bCs w:val="1"/>
          <w:rtl w:val="0"/>
        </w:rPr>
        <w:t xml:space="preserve">extra investor protection rules</w:t>
      </w:r>
      <w:r w:rsidDel="00000000" w:rsidR="00000000" w:rsidRPr="00000000">
        <w:rPr>
          <w:rtl w:val="0"/>
        </w:rPr>
        <w:t xml:space="preserve">, such as:</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b w:val="1"/>
          <w:bCs w:val="1"/>
          <w:rtl w:val="0"/>
        </w:rPr>
        <w:t xml:space="preserve">Investment limits</w:t>
      </w:r>
      <w:r w:rsidDel="00000000" w:rsidR="00000000" w:rsidRPr="00000000">
        <w:rPr>
          <w:rtl w:val="0"/>
        </w:rPr>
        <w:t xml:space="preserve"> for non-eligible investors ($10,000 max in most cases).</w:t>
        <w:br w:type="textWrapping"/>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Enhanced disclosure requirements for real estate and collective investment vehicles.</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spacing w:after="80" w:before="280" w:line="312" w:lineRule="auto"/>
        <w:rPr>
          <w:b w:val="1"/>
          <w:bCs w:val="1"/>
        </w:rPr>
      </w:pPr>
      <w:bookmarkStart w:colFirst="0" w:colLast="0" w:name="_qoj2hx2dv0gg" w:id="4"/>
      <w:bookmarkEnd w:id="4"/>
      <w:r w:rsidDel="00000000" w:rsidR="00000000" w:rsidRPr="00000000">
        <w:rPr>
          <w:b w:val="1"/>
          <w:bCs w:val="1"/>
          <w:rtl w:val="0"/>
        </w:rPr>
        <w:t xml:space="preserve">Risks for Directors and Officers</w:t>
      </w:r>
    </w:p>
    <w:p w:rsidR="00000000" w:rsidDel="00000000" w:rsidP="00000000" w:rsidRDefault="00000000" w:rsidRPr="00000000" w14:paraId="00000020">
      <w:pPr>
        <w:spacing w:after="240" w:before="240" w:lineRule="auto"/>
        <w:rPr/>
      </w:pPr>
      <w:r w:rsidDel="00000000" w:rsidR="00000000" w:rsidRPr="00000000">
        <w:rPr>
          <w:rtl w:val="0"/>
        </w:rPr>
        <w:t xml:space="preserve">If you're involved in an offering via OM, bear in mind:</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b w:val="1"/>
          <w:bCs w:val="1"/>
          <w:rtl w:val="0"/>
        </w:rPr>
        <w:t xml:space="preserve">Misrepresentation in an OM can give rise to statutory liability</w:t>
      </w:r>
      <w:r w:rsidDel="00000000" w:rsidR="00000000" w:rsidRPr="00000000">
        <w:rPr>
          <w:rtl w:val="0"/>
        </w:rPr>
        <w:t xml:space="preserve">—meaning investors can sue for damages.</w:t>
        <w:br w:type="textWrapping"/>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due diligence defense</w:t>
      </w:r>
      <w:r w:rsidDel="00000000" w:rsidR="00000000" w:rsidRPr="00000000">
        <w:rPr>
          <w:rtl w:val="0"/>
        </w:rPr>
        <w:t xml:space="preserve"> (that you took all reasonable steps to verify the disclosure) is your lifeline—so it’s worth doing it right.</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