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280" w:line="312" w:lineRule="auto"/>
        <w:rPr/>
      </w:pPr>
      <w:bookmarkStart w:colFirst="0" w:colLast="0" w:name="_tzpduw7r8ekq" w:id="0"/>
      <w:bookmarkEnd w:id="0"/>
      <w:r w:rsidDel="00000000" w:rsidR="00000000" w:rsidRPr="00000000">
        <w:rPr>
          <w:rtl w:val="0"/>
        </w:rPr>
        <w:t xml:space="preserve">Special Purpose Acquisition Companies (SPACs)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SPAC is essentially a "blank check" company—an entity that goes public with the sole purpose of acquiring an existing private company. It raises capital through an </w:t>
      </w:r>
      <w:r w:rsidDel="00000000" w:rsidR="00000000" w:rsidRPr="00000000">
        <w:rPr>
          <w:b w:val="1"/>
          <w:bCs w:val="1"/>
          <w:rtl w:val="0"/>
        </w:rPr>
        <w:t xml:space="preserve">initial public offering (IPO)</w:t>
      </w:r>
      <w:r w:rsidDel="00000000" w:rsidR="00000000" w:rsidRPr="00000000">
        <w:rPr>
          <w:rtl w:val="0"/>
        </w:rPr>
        <w:t xml:space="preserve"> and then has a set time frame (often two years) to find and merge with a private business. This allows the private company to bypass the traditional IPO process and go public more quickly.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Investors buy into the SPAC without knowing which company it will acquire.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raised in the IPO are held in a trust account until a target is identified.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acquisition happens within the timeframe, funds are returned to investors.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SPAC's sponsor typically retains a </w:t>
      </w:r>
      <w:r w:rsidDel="00000000" w:rsidR="00000000" w:rsidRPr="00000000">
        <w:rPr>
          <w:b w:val="1"/>
          <w:bCs w:val="1"/>
          <w:rtl w:val="0"/>
        </w:rPr>
        <w:t xml:space="preserve">"promote" (20% stake)</w:t>
      </w:r>
      <w:r w:rsidDel="00000000" w:rsidR="00000000" w:rsidRPr="00000000">
        <w:rPr>
          <w:rtl w:val="0"/>
        </w:rPr>
        <w:t xml:space="preserve">, which dilutes existing shareholders.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Faster and often cheaper than a traditional IPO, access to experienced sponsors.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Higher risk for investors, potential conflicts of interest with sponsors.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