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Corporate Law Practice - Director - Indemnification </w:t>
      </w:r>
    </w:p>
    <w:p w:rsidR="00000000" w:rsidDel="00000000" w:rsidP="00000000" w:rsidRDefault="00000000" w:rsidRPr="00000000" w14:paraId="0000000A">
      <w:pPr>
        <w:pStyle w:val="Subtitle"/>
        <w:rPr/>
      </w:pPr>
      <w:bookmarkStart w:colFirst="0" w:colLast="0" w:name="_nqibd0adg555"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4"/>
      <w:bookmarkEnd w:id="4"/>
      <w:r w:rsidDel="00000000" w:rsidR="00000000" w:rsidRPr="00000000">
        <w:rPr>
          <w:rtl w:val="0"/>
        </w:rPr>
      </w:r>
    </w:p>
    <w:p w:rsidR="00000000" w:rsidDel="00000000" w:rsidP="00000000" w:rsidRDefault="00000000" w:rsidRPr="00000000" w14:paraId="0000000C">
      <w:pPr>
        <w:spacing w:after="240" w:before="240" w:lineRule="auto"/>
        <w:rPr>
          <w:sz w:val="24"/>
          <w:szCs w:val="24"/>
        </w:rPr>
      </w:pPr>
      <w:r w:rsidDel="00000000" w:rsidR="00000000" w:rsidRPr="00000000">
        <w:rPr>
          <w:rtl w:val="0"/>
        </w:rPr>
      </w:r>
    </w:p>
    <w:p w:rsidR="00000000" w:rsidDel="00000000" w:rsidP="00000000" w:rsidRDefault="00000000" w:rsidRPr="00000000" w14:paraId="0000000D">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b w:val="1"/>
          <w:bCs w:val="1"/>
          <w:sz w:val="24"/>
          <w:szCs w:val="24"/>
          <w:rtl w:val="0"/>
        </w:rPr>
        <w:t xml:space="preserve">Right to Indemnification</w:t>
      </w: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Under the CBCA, a corporation may indemnify a director or officer of the corporation, a former director or officer of the corporation or another individual who acts or acted at the corporation’s request as a director or officer, or an individual acting in a similar capacity, of another entity, (an “</w:t>
      </w:r>
      <w:r w:rsidDel="00000000" w:rsidR="00000000" w:rsidRPr="00000000">
        <w:rPr>
          <w:b w:val="1"/>
          <w:bCs w:val="1"/>
          <w:sz w:val="24"/>
          <w:szCs w:val="24"/>
          <w:rtl w:val="0"/>
        </w:rPr>
        <w:t xml:space="preserve">Indemnifiable Person</w:t>
      </w:r>
      <w:r w:rsidDel="00000000" w:rsidR="00000000" w:rsidRPr="00000000">
        <w:rPr>
          <w:sz w:val="24"/>
          <w:szCs w:val="24"/>
          <w:rtl w:val="0"/>
        </w:rPr>
        <w:t xml:space="preserve">”) against all costs, charges and expenses, including an amount paid to settle an action or satisfy a judgment, reasonably incurred by the Indemnifiable Person in respect of any civil, criminal administrative, investigative or other proceeding in which the Indemnifiable Person is involved because of that association with the corporation or other entity.</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 company may not indemnify an Indemnifiable Person unless the individual:</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(1) acted honestly and in good faith with a view to the best interests of the corporation, or, as the case may be, to the bests interests of the other entity for</w:t>
      </w:r>
      <w:r w:rsidDel="00000000" w:rsidR="00000000" w:rsidRPr="00000000">
        <w:rPr>
          <w:sz w:val="16"/>
          <w:szCs w:val="16"/>
          <w:rtl w:val="0"/>
        </w:rPr>
        <w:t xml:space="preserve"> </w:t>
      </w:r>
      <w:r w:rsidDel="00000000" w:rsidR="00000000" w:rsidRPr="00000000">
        <w:rPr>
          <w:sz w:val="24"/>
          <w:szCs w:val="24"/>
          <w:rtl w:val="0"/>
        </w:rPr>
        <w:t xml:space="preserve">which the individual acted as director or officer or in a similar capacity at the corporation’s request; and</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(2) in the case of a criminal or administrative action or proceeding that is enforced by a monetary penalty, the individual had reasonable grounds for believing that the individual’s conduct was lawful.</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 corporation may, with the approval of a court, also indemnify an Indemnifiable Person in respect of an action by or on behalf of the corporation or other entity to procure a judgment in its favour, to which the individual is made a party because of the individual’s association with the corporation or other entity, against all costs, charges and expenses reasonably incurred by the individual in connection with such action, if the Indemnifiable Person fulfils all of the conditions set out above.</w:t>
      </w:r>
    </w:p>
    <w:p w:rsidR="00000000" w:rsidDel="00000000" w:rsidP="00000000" w:rsidRDefault="00000000" w:rsidRPr="00000000" w14:paraId="00000014">
      <w:pPr>
        <w:spacing w:after="240" w:before="240" w:lineRule="auto"/>
        <w:rPr>
          <w:sz w:val="24"/>
          <w:szCs w:val="24"/>
        </w:rPr>
      </w:pPr>
      <w:r w:rsidDel="00000000" w:rsidR="00000000" w:rsidRPr="00000000">
        <w:rPr>
          <w:b w:val="1"/>
          <w:bCs w:val="1"/>
          <w:sz w:val="24"/>
          <w:szCs w:val="24"/>
          <w:rtl w:val="0"/>
        </w:rPr>
        <w:t xml:space="preserve">Auditors, Financial Statements, Auditor’s Reports, and Audit Committee</w:t>
      </w:r>
      <w:r w:rsidDel="00000000" w:rsidR="00000000" w:rsidRPr="00000000">
        <w:rPr>
          <w:rtl w:val="0"/>
        </w:rPr>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In accordance with the CBCA, shareholders of the Company are required at each annual meeting of the Company to pass an ordinary resolution appointing an auditor to hold office until the close of the next annual meeting. Unless the auditor is appointed by the court in accordance with the provisions of the CBCA, shareholders of the Company can remove the auditor from office by ordinary resolution at a special meeting of shareholders.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Under the CBCA, the directors of the Company must place before the shareholders at every annual meeting (a) comparative financial statements as prescribed in respect of the immediately preceding financial year; (b) comparative financial statements as prescribed in respect of the period that began immediately after the end of the last completed financial year and ended not more than six months before the annual meeting; (c) the report of the auditor, if any; and (c) any further information respecting the financial position of the corporation and the result of its operations required by the articles, the by-laws or any unanimous shareholder agreement.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Company is required to prepare and file on SEDAR its annual financial statements and annual management discussion and analysis along with the report of the auditor, if any, within the prescribed period of time following financial year-end. The Company is also required to prepare and file on SEDAR its quarterly financial statements and interim management discussion and analysis within the prescribed period of time following the end of the first, second and third financial quarter.</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sz w:val="24"/>
          <w:szCs w:val="24"/>
          <w:rtl w:val="0"/>
        </w:rPr>
        <w:t xml:space="preserve">Corporate Governance Reports and Website</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sz w:val="24"/>
          <w:szCs w:val="24"/>
          <w:rtl w:val="0"/>
        </w:rPr>
        <w:t xml:space="preserve">Companies listed on the TSX must provide certain corporate governance information in their management information circular. The management information circular is distributed together with the Company’s notice of annual shareholders’ meeting and is filed on SEDAR. There is no requirement to have the management information circular reviewed by the Company’s auditors, and unless the Company elects and is able to use the “notice-and-access” provisions under Canadian securities laws, there is no requirement to include the management information circular on the Company’s website. The content of the management information circular is regulated by Canadian securities laws, and the management information circular must, among other things, include a discussion of the Company’s compliance with the Canadian corporate governance principles. Although there are currently not many legal requirements regarding the information on the Company’s website, the Company does include information useful to investors.</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