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Directors Duties</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ffffff" w:val="clear"/>
        <w:spacing w:before="0" w:lineRule="auto"/>
        <w:ind w:left="720" w:right="280" w:hanging="360"/>
        <w:jc w:val="left"/>
      </w:pPr>
      <w:r w:rsidDel="00000000" w:rsidR="00000000" w:rsidRPr="00000000">
        <w:rPr>
          <w:rtl w:val="0"/>
        </w:rPr>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ffffff" w:val="clear"/>
        <w:spacing w:before="0" w:lineRule="auto"/>
        <w:ind w:left="720" w:right="280" w:hanging="360"/>
        <w:jc w:val="left"/>
      </w:pPr>
      <w:r w:rsidDel="00000000" w:rsidR="00000000" w:rsidRPr="00000000">
        <w:rPr>
          <w:rFonts w:ascii="Lato" w:cs="Lato" w:eastAsia="Lato" w:hAnsi="Lato"/>
          <w:color w:val="000000"/>
          <w:sz w:val="21"/>
          <w:szCs w:val="21"/>
          <w:rtl w:val="0"/>
        </w:rPr>
        <w:t xml:space="preserve">Director and Officer Duties</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hd w:fill="ffffff" w:val="clear"/>
        <w:spacing w:before="0" w:lineRule="auto"/>
        <w:ind w:left="720" w:right="280" w:hanging="360"/>
        <w:jc w:val="left"/>
      </w:pPr>
      <w:r w:rsidDel="00000000" w:rsidR="00000000" w:rsidRPr="00000000">
        <w:rPr>
          <w:rFonts w:ascii="Lato" w:cs="Lato" w:eastAsia="Lato" w:hAnsi="Lato"/>
          <w:color w:val="000000"/>
          <w:sz w:val="21"/>
          <w:szCs w:val="21"/>
          <w:rtl w:val="0"/>
        </w:rPr>
        <w:t xml:space="preserve">Director and Officer Liabilities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pr212mt1oyil" w:id="5"/>
      <w:bookmarkEnd w:id="5"/>
      <w:r w:rsidDel="00000000" w:rsidR="00000000" w:rsidRPr="00000000">
        <w:rPr>
          <w:rtl w:val="0"/>
        </w:rPr>
        <w:t xml:space="preserve">DIRECTORS DUTIES  </w:t>
      </w:r>
    </w:p>
    <w:p w:rsidR="00000000" w:rsidDel="00000000" w:rsidP="00000000" w:rsidRDefault="00000000" w:rsidRPr="00000000" w14:paraId="00000012">
      <w:pPr>
        <w:rPr/>
      </w:pPr>
      <w:r w:rsidDel="00000000" w:rsidR="00000000" w:rsidRPr="00000000">
        <w:rPr>
          <w:rtl w:val="0"/>
        </w:rPr>
        <w:t xml:space="preserve">The following is a summary of certain responsibilities, obligations and duties of directors based upon current Canadian law and the [Company’s] current articles, by-laws and, as applicable unanimous shareholder agreement(s) with emphasis on [non-independent] directors .   </w:t>
      </w:r>
    </w:p>
    <w:p w:rsidR="00000000" w:rsidDel="00000000" w:rsidP="00000000" w:rsidRDefault="00000000" w:rsidRPr="00000000" w14:paraId="00000013">
      <w:pPr>
        <w:rPr/>
      </w:pPr>
      <w:r w:rsidDel="00000000" w:rsidR="00000000" w:rsidRPr="00000000">
        <w:rPr>
          <w:rtl w:val="0"/>
        </w:rPr>
        <w:t xml:space="preserve">The summary is of a general nature and not an exhaustive account or review of the aforementioned corporate documents, nor of all potentially relevant application of those documents to the facts in [your] specific case, material or not.</w:t>
      </w:r>
    </w:p>
    <w:p w:rsidR="00000000" w:rsidDel="00000000" w:rsidP="00000000" w:rsidRDefault="00000000" w:rsidRPr="00000000" w14:paraId="00000014">
      <w:pPr>
        <w:pStyle w:val="Heading2"/>
        <w:spacing w:after="240" w:before="240" w:lineRule="auto"/>
        <w:rPr/>
      </w:pPr>
      <w:bookmarkStart w:colFirst="0" w:colLast="0" w:name="_x7nyl7xx5ds8" w:id="6"/>
      <w:bookmarkEnd w:id="6"/>
      <w:r w:rsidDel="00000000" w:rsidR="00000000" w:rsidRPr="00000000">
        <w:rPr>
          <w:rtl w:val="0"/>
        </w:rPr>
        <w:t xml:space="preserve">Corporate Governance in Canada, Generally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No jurisdiction in Canada has adopted a prescriptive corporate governance code in its corporate legislation. </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However, a public company must comply with securities legislation and the Toronto Stock Exchange (“</w:t>
      </w:r>
      <w:r w:rsidDel="00000000" w:rsidR="00000000" w:rsidRPr="00000000">
        <w:rPr>
          <w:b w:val="1"/>
          <w:bCs w:val="1"/>
          <w:sz w:val="24"/>
          <w:szCs w:val="24"/>
          <w:rtl w:val="0"/>
        </w:rPr>
        <w:t xml:space="preserve">TSX</w:t>
      </w:r>
      <w:r w:rsidDel="00000000" w:rsidR="00000000" w:rsidRPr="00000000">
        <w:rPr>
          <w:sz w:val="24"/>
          <w:szCs w:val="24"/>
          <w:rtl w:val="0"/>
        </w:rPr>
        <w:t xml:space="preserve">”) rules, which contain corporate governance guidelines, policies and related disclosure requirements. For example, National Policy 58-201 - Corporate Governance Guidelines sets non-prescriptive guidelines in respect of governance matters  </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8">
      <w:pPr>
        <w:pStyle w:val="Heading2"/>
        <w:rPr/>
      </w:pPr>
      <w:bookmarkStart w:colFirst="0" w:colLast="0" w:name="_nsyfjxrnmkdk" w:id="7"/>
      <w:bookmarkEnd w:id="7"/>
      <w:r w:rsidDel="00000000" w:rsidR="00000000" w:rsidRPr="00000000">
        <w:rPr>
          <w:rtl w:val="0"/>
        </w:rPr>
        <w:t xml:space="preserve">The Management of the Company</w:t>
        <w:br w:type="textWrapping"/>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management of the company and the supervision thereof is the responsibility of the directors.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Directors of corporations governed by the CBCA have fiduciary obligations to the corporation. Under the CBCA, directors, when exercising the powers and discharging their duties, must act</w:t>
      </w:r>
      <w:r w:rsidDel="00000000" w:rsidR="00000000" w:rsidRPr="00000000">
        <w:rPr>
          <w:sz w:val="16"/>
          <w:szCs w:val="16"/>
          <w:rtl w:val="0"/>
        </w:rPr>
        <w:t xml:space="preserve"> </w:t>
      </w:r>
      <w:r w:rsidDel="00000000" w:rsidR="00000000" w:rsidRPr="00000000">
        <w:rPr>
          <w:sz w:val="24"/>
          <w:szCs w:val="24"/>
          <w:rtl w:val="0"/>
        </w:rPr>
        <w:t xml:space="preserve">honestly and in good faith with a view to the best interests of the corporation and exercise the care, diligence and skill that a reasonably prudent individual would exercise in comparable circumstances.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Board is responsible for the stewardship of the business and for acting in the best interests of the Company and its shareholders. [The specific duties of the Board are contained in the Board of Directors’ Mandate. A copy of the Mandate of the Board of Directors is attached to the management information circular.]</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pStyle w:val="Heading2"/>
        <w:spacing w:after="240" w:before="240" w:lineRule="auto"/>
        <w:rPr>
          <w:sz w:val="24"/>
          <w:szCs w:val="24"/>
        </w:rPr>
      </w:pPr>
      <w:bookmarkStart w:colFirst="0" w:colLast="0" w:name="_7socy64xnuvr" w:id="8"/>
      <w:bookmarkEnd w:id="8"/>
      <w:r w:rsidDel="00000000" w:rsidR="00000000" w:rsidRPr="00000000">
        <w:rPr>
          <w:rtl w:val="0"/>
        </w:rPr>
        <w:t xml:space="preserve">Issue of shares</w:t>
      </w: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Under the CBCA:</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sz w:val="24"/>
          <w:szCs w:val="24"/>
          <w:rtl w:val="0"/>
        </w:rPr>
        <w:t xml:space="preserve">(1)  subject to the articles, the by-laws and any unanimous shareholder agreement, shares may be issued at such times and to such persons and for such consideration as the directors may determine;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sz w:val="24"/>
          <w:szCs w:val="24"/>
          <w:rtl w:val="0"/>
        </w:rPr>
        <w:t xml:space="preserve">(2)  shares issued by the company are non-assessable, and the holders are not liable to the company or to its creditors in respect thereof; and</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sz w:val="24"/>
          <w:szCs w:val="24"/>
          <w:rtl w:val="0"/>
        </w:rPr>
        <w:t xml:space="preserve">(3)  a share shall not be issued until the consideration for the share is fully paid in money or in property or past services and the directors must not attribute to past services or property a value that exceeds the fair market value of those past services or that property, as the case may be.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pStyle w:val="Heading2"/>
        <w:rPr/>
      </w:pPr>
      <w:bookmarkStart w:colFirst="0" w:colLast="0" w:name="_vd6wop6ipbca" w:id="9"/>
      <w:bookmarkEnd w:id="9"/>
      <w:r w:rsidDel="00000000" w:rsidR="00000000" w:rsidRPr="00000000">
        <w:rPr>
          <w:rtl w:val="0"/>
        </w:rPr>
        <w:t xml:space="preserve">Dividends</w:t>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Under the CBCA, a corporation may pay a dividend in money or property or by issuing fully paid shares of the corporation. A corporation shall not declare or pay a dividend if there are reasonable grounds for believing that:</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sz w:val="24"/>
          <w:szCs w:val="24"/>
          <w:rtl w:val="0"/>
        </w:rPr>
        <w:t xml:space="preserve">(1)  the corporation is, or would after the payment be, unable to pay its liabilities as they become due; or</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sz w:val="24"/>
          <w:szCs w:val="24"/>
          <w:rtl w:val="0"/>
        </w:rPr>
        <w:t xml:space="preserve">(2)  the realizable value of the corporation’s assets would thereby be less than the aggregate of its liabilities and stated capital of all classes.</w:t>
        <w:br w:type="textWrapping"/>
      </w: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Board approved a Dividend Policy which provides for the payment of a regular quarterly dividend. The declaration, timing, amount and payment of these dividends are at the discretion of the Board.]</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891t8s6kq53e" w:id="10"/>
      <w:bookmarkEnd w:id="10"/>
      <w:r w:rsidDel="00000000" w:rsidR="00000000" w:rsidRPr="00000000">
        <w:rPr>
          <w:rtl w:val="0"/>
        </w:rPr>
        <w:t xml:space="preserve">Amendments to the Articles or By-laws</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Under the CBCA, the amendment of the articles of a corporation generally requires the approval by special resolution of the shareholders. The CBCA provides that, unless the articles or by-laws otherwise provide, the directors may, by resolution, make, amend or repeal any by- law that regulates the business or affairs of a corporation. Where the directors make, amend or repeal a by-law, they are required under the CBCA to submit the by-law, amendment or repeal to the shareholders at the next meeting of shareholders, and the shareholders may confirm, reject or amend the by-law, amendment or repeal by an ordinary resolution, which is a resolution passed by a majority of the votes cast by shareholders who voted in respect of the resolution. If the directors of a corporation do not submit a by-law, an amendment or a repeal to the shareholders at the next meeting of shareholders, the by-law, amendment or repeal will cease to be effective on the date of the meeting of shareholders at which it should have been submitted, and no subsequent resolution of the directors to adopt, amend or repeal a by-law having substantially the same purpose and effect is effective until it is confirmed or confirmed as amended by the shareholders.</w:t>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245b0rp5b25y" w:id="11"/>
      <w:bookmarkEnd w:id="11"/>
      <w:r w:rsidDel="00000000" w:rsidR="00000000" w:rsidRPr="00000000">
        <w:rPr>
          <w:rtl w:val="0"/>
        </w:rPr>
        <w:t xml:space="preserve">Number of Directors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Under the CBCA,  at least twenty-five per cent of the directors of a corporation must be resident Canadians and if a corporation has less than four directors, at least one director must be a resident Canadian. </w:t>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directors are elected at the annual meeting of shareholders of the Company for a term expiring at the end of the next annual meeting. Under the CBCA, the directors may also, if the articles so provide, appoint one or more additional directors, who shall also hold office for a term expiring at the end of the next annual meeting, provided that the total number of directors so elected shall not exceed one third of the number of directors elected at the previous annual meeting.</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articles of the Company provide that it shall have a minimum of [1] and a maximum of [10] directors.</w:t>
      </w:r>
    </w:p>
    <w:p w:rsidR="00000000" w:rsidDel="00000000" w:rsidP="00000000" w:rsidRDefault="00000000" w:rsidRPr="00000000" w14:paraId="0000003C">
      <w:pPr>
        <w:pStyle w:val="Heading3"/>
        <w:spacing w:after="240" w:before="240" w:lineRule="auto"/>
        <w:rPr/>
      </w:pPr>
      <w:bookmarkStart w:colFirst="0" w:colLast="0" w:name="_wmj55f1zf4hh" w:id="12"/>
      <w:bookmarkEnd w:id="12"/>
      <w:r w:rsidDel="00000000" w:rsidR="00000000" w:rsidRPr="00000000">
        <w:rPr>
          <w:rtl w:val="0"/>
        </w:rPr>
        <w:t xml:space="preserve"> </w:t>
      </w:r>
    </w:p>
    <w:p w:rsidR="00000000" w:rsidDel="00000000" w:rsidP="00000000" w:rsidRDefault="00000000" w:rsidRPr="00000000" w14:paraId="0000003D">
      <w:pPr>
        <w:pStyle w:val="Heading2"/>
        <w:rPr/>
      </w:pPr>
      <w:bookmarkStart w:colFirst="0" w:colLast="0" w:name="_o7i2pfnkq29o" w:id="13"/>
      <w:bookmarkEnd w:id="13"/>
      <w:r w:rsidDel="00000000" w:rsidR="00000000" w:rsidRPr="00000000">
        <w:rPr>
          <w:rtl w:val="0"/>
        </w:rPr>
        <w:t xml:space="preserve">Nomination, Appointment and Removal of Directors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Under the CBCA the shareholders of a corporation may by ordinary resolution at a special meeting remove any director or directors from office. However, there are a couple of exceptions. Where the articles provide for cumulative voting, a director may be removed from office only if the number of votes cast in favour of the director’s removal is greater than the product of the number of directors required by the articles and the number of votes cast against the motion. In addition, where the holders of any class or series of shares of a corporation have an exclusive right to elect one or more of the directors, a director so elected may only be removed by an ordinary resolution at a meeting of the shareholders of that class or series.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Board of directors appoints the Chair pursuant to the Company’s By-Laws.</w:t>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BOARD - </w:t>
      </w:r>
      <w:r w:rsidDel="00000000" w:rsidR="00000000" w:rsidRPr="00000000">
        <w:rPr>
          <w:b w:val="1"/>
          <w:bCs w:val="1"/>
          <w:sz w:val="24"/>
          <w:szCs w:val="24"/>
          <w:rtl w:val="0"/>
        </w:rPr>
        <w:t xml:space="preserve">Majority Voting Policy</w:t>
      </w: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Board has adopted a policy on majority voting (the “</w:t>
      </w:r>
      <w:r w:rsidDel="00000000" w:rsidR="00000000" w:rsidRPr="00000000">
        <w:rPr>
          <w:b w:val="1"/>
          <w:bCs w:val="1"/>
          <w:sz w:val="24"/>
          <w:szCs w:val="24"/>
          <w:rtl w:val="0"/>
        </w:rPr>
        <w:t xml:space="preserve">Majority Voting Policy</w:t>
      </w:r>
      <w:r w:rsidDel="00000000" w:rsidR="00000000" w:rsidRPr="00000000">
        <w:rPr>
          <w:sz w:val="24"/>
          <w:szCs w:val="24"/>
          <w:rtl w:val="0"/>
        </w:rPr>
        <w:t xml:space="preserve">”) that provides that each director of the Company should be elected by the vote of a majority of the Shares, represented in person or by proxy, at any meeting for the election of directors.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Chair of the Board will ensure that the number of shares voted “for” or “withheld” from voting for each director nominee of the Company is recorded and promptly made public after the relevant meeting. If any nominee for director receives, from the shares voted at the meeting in person or by proxy, a greater number of shares withheld than shares voted for his or her election, the director must promptly tender his or her resignation to the Chair of the Board following the meeting, to take effect upon acceptance by the Board. To assist the Board in making a determination with regard to exceptional circumstances, the Board will refer the resignation to the Corporate Governance and Nominating Committee who will expeditiously consider the director’s offer to resign and make a recommendation to the Board whether to accept the resignation. Within 90 days of the shareholders’ meeting, the Board will make a final decision concerning the acceptance of the director’s resignation and announce that decision by way of a news release.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Majority Voting Policy does not apply to a contested election of directors, that is, where the number of nominees exceeds the number of directors to be elected.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If the director fails to tender his or her resignation as contemplated in the Majority Voting Policy, the Board will not re-nominate the director. Subject to any corporate law restrictions, where the Board accepts the offer of resignation of a director and that director resigns, the Board may exercise its discretion with respect to the resulting vacancy and may, without limitation, leave the resultant vacancy unfilled until the next annual meeting of shareholders, fill the vacancy through the appointment of a new director whom the Board considers to merit the confidence of the shareholders, or call a special meeting of shareholders to elect a new nominee to fill the vacant position.</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pStyle w:val="Heading2"/>
        <w:spacing w:after="240" w:before="240" w:lineRule="auto"/>
        <w:rPr/>
      </w:pPr>
      <w:bookmarkStart w:colFirst="0" w:colLast="0" w:name="_uk8snjf2uepo" w:id="14"/>
      <w:bookmarkEnd w:id="14"/>
      <w:r w:rsidDel="00000000" w:rsidR="00000000" w:rsidRPr="00000000">
        <w:rPr>
          <w:rtl w:val="0"/>
        </w:rPr>
        <w:t xml:space="preserve">Right to </w:t>
      </w:r>
      <w:r w:rsidDel="00000000" w:rsidR="00000000" w:rsidRPr="00000000">
        <w:rPr>
          <w:rtl w:val="0"/>
        </w:rPr>
        <w:t xml:space="preserve">Remuneration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According to the by-laws of the Company, the directors shall be paid such remuneration for their services as the Board may from time to time determine. The directors shall also be entitled to be reimbursed for reasonable expenses they may incur in and about the business of the Company.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compensation package for directors is intended to provide a competitive level of remuneration reflective of the responsibilities, accountability and time commitments of the Board members. Executive officers of the Company who also act as directors of the Company do not receive any additional compensation for services rendered in such capacity, other than as paid by the Company to such executive officers in their capacity as executive officers. Options and other incentive based securities may be granted from time to time upon the recommendation of the Human Resources/Compensation Committee of the Board.</w:t>
      </w:r>
    </w:p>
    <w:p w:rsidR="00000000" w:rsidDel="00000000" w:rsidP="00000000" w:rsidRDefault="00000000" w:rsidRPr="00000000" w14:paraId="0000004C">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D">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pStyle w:val="Heading3"/>
        <w:spacing w:after="240" w:before="240" w:lineRule="auto"/>
        <w:rPr/>
      </w:pPr>
      <w:bookmarkStart w:colFirst="0" w:colLast="0" w:name="_dan385vxnuws" w:id="15"/>
      <w:bookmarkEnd w:id="15"/>
      <w:r w:rsidDel="00000000" w:rsidR="00000000" w:rsidRPr="00000000">
        <w:rPr>
          <w:rtl w:val="0"/>
        </w:rPr>
        <w:t xml:space="preserve"> </w:t>
      </w:r>
    </w:p>
    <w:p w:rsidR="00000000" w:rsidDel="00000000" w:rsidP="00000000" w:rsidRDefault="00000000" w:rsidRPr="00000000" w14:paraId="00000050">
      <w:pPr>
        <w:pStyle w:val="Heading2"/>
        <w:spacing w:after="240" w:before="240" w:lineRule="auto"/>
        <w:rPr/>
      </w:pPr>
      <w:bookmarkStart w:colFirst="0" w:colLast="0" w:name="_pg5m4gej069c" w:id="16"/>
      <w:bookmarkEnd w:id="16"/>
      <w:r w:rsidDel="00000000" w:rsidR="00000000" w:rsidRPr="00000000">
        <w:rPr>
          <w:rtl w:val="0"/>
        </w:rPr>
        <w:t xml:space="preserve">Right to Indemnification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Under the CBCA, a corporation may indemnify a director or officer of the corporation, a former director or officer of the corporation or another individual who acts or acted at the corporation’s request as a director or officer, or an individual acting in a similar capacity, of another entity, (an “</w:t>
      </w:r>
      <w:r w:rsidDel="00000000" w:rsidR="00000000" w:rsidRPr="00000000">
        <w:rPr>
          <w:b w:val="1"/>
          <w:bCs w:val="1"/>
          <w:sz w:val="24"/>
          <w:szCs w:val="24"/>
          <w:rtl w:val="0"/>
        </w:rPr>
        <w:t xml:space="preserve">Indemnifiable Person</w:t>
      </w:r>
      <w:r w:rsidDel="00000000" w:rsidR="00000000" w:rsidRPr="00000000">
        <w:rPr>
          <w:sz w:val="24"/>
          <w:szCs w:val="24"/>
          <w:rtl w:val="0"/>
        </w:rPr>
        <w:t xml:space="preserve">”) against all costs, charges and expenses, including an amount paid to settle an action or satisfy a judgment, reasonably incurred by the Indemnifiable Person in respect of any civil, criminal administrative, investigative or other proceeding in which the Indemnifiable Person is involved because of that association with the corporation or other entity.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 company may not indemnify an Indemnifiable Person unless the individual:</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(1) acted honestly and in good faith with a view to the best interests of the corporation, or, as the case may be, to the bests interests of the other entity for</w:t>
      </w:r>
      <w:r w:rsidDel="00000000" w:rsidR="00000000" w:rsidRPr="00000000">
        <w:rPr>
          <w:sz w:val="16"/>
          <w:szCs w:val="16"/>
          <w:rtl w:val="0"/>
        </w:rPr>
        <w:t xml:space="preserve"> </w:t>
      </w:r>
      <w:r w:rsidDel="00000000" w:rsidR="00000000" w:rsidRPr="00000000">
        <w:rPr>
          <w:sz w:val="24"/>
          <w:szCs w:val="24"/>
          <w:rtl w:val="0"/>
        </w:rPr>
        <w:t xml:space="preserve">which the individual acted as director or officer or in a similar capacity at the corporation’s request; and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(2) in the case of a criminal or administrative action or proceeding that is enforced by a monetary penalty, the individual had reasonable grounds for believing that the individual’s conduct was lawful.</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 corporation may, with the approval of a court, also indemnify an Indemnifiable Person in respect of an action by or on behalf of the corporation or other entity to procure a judgment in its favour, to which the individual is made a party because of the individual’s association with the corporation or other entity, against all costs, charges and expenses reasonably incurred by the individual in connection with such action, if the Indemnifiable Person fulfils all of the conditions set out above.</w:t>
      </w:r>
    </w:p>
    <w:p w:rsidR="00000000" w:rsidDel="00000000" w:rsidP="00000000" w:rsidRDefault="00000000" w:rsidRPr="00000000" w14:paraId="00000056">
      <w:pPr>
        <w:pStyle w:val="Heading2"/>
        <w:spacing w:after="240" w:before="240" w:lineRule="auto"/>
        <w:rPr/>
      </w:pPr>
      <w:bookmarkStart w:colFirst="0" w:colLast="0" w:name="_o80d3yrknwxs" w:id="17"/>
      <w:bookmarkEnd w:id="17"/>
      <w:r w:rsidDel="00000000" w:rsidR="00000000" w:rsidRPr="00000000">
        <w:rPr>
          <w:rtl w:val="0"/>
        </w:rPr>
        <w:t xml:space="preserve">Auditors, Financial Statements, Auditor’s Reports, and Audit Committee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Title"/>
        <w:spacing w:after="240" w:before="240" w:lineRule="auto"/>
        <w:rPr>
          <w:color w:val="353744"/>
          <w:sz w:val="44"/>
          <w:szCs w:val="44"/>
        </w:rPr>
      </w:pPr>
      <w:bookmarkStart w:colFirst="0" w:colLast="0" w:name="_gv33jbp3grom" w:id="18"/>
      <w:bookmarkEnd w:id="18"/>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Except in the case of one-person companies (</w:t>
      </w:r>
      <w:r w:rsidDel="00000000" w:rsidR="00000000" w:rsidRPr="00000000">
        <w:rPr>
          <w:i w:val="1"/>
          <w:iCs w:val="1"/>
          <w:rtl w:val="0"/>
        </w:rPr>
        <w:t xml:space="preserve">i.e.</w:t>
      </w:r>
      <w:r w:rsidDel="00000000" w:rsidR="00000000" w:rsidRPr="00000000">
        <w:rPr>
          <w:rtl w:val="0"/>
        </w:rPr>
        <w:t xml:space="preserve">, incorporated sole proprietorships),</w:t>
      </w:r>
      <w:r w:rsidDel="00000000" w:rsidR="00000000" w:rsidRPr="00000000">
        <w:rPr>
          <w:b w:val="1"/>
          <w:bCs w:val="1"/>
          <w:sz w:val="14"/>
          <w:szCs w:val="14"/>
          <w:highlight w:val="white"/>
          <w:rtl w:val="0"/>
        </w:rPr>
        <w:t xml:space="preserve"> </w:t>
      </w:r>
      <w:r w:rsidDel="00000000" w:rsidR="00000000" w:rsidRPr="00000000">
        <w:rPr>
          <w:rtl w:val="0"/>
        </w:rPr>
        <w:t xml:space="preserve">boards of directors serve as the principal organ of corporate governance in Canadian business. the fundamental purposes of corporate governance mechanisms are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(a) to protect the shareholders and other stakeholders of a corporation,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(b) to promote the corporation’s long-term existence, and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(c) to cause the business of the corporation to be conducted in a lawful and prudent manner.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The most fundamental role in ensuring that the corporation’s assets are employed in a manner suited to the type of business in which the corporation is engaged, falls to the board of directors, which is responsible for management or supervision of the management of the corporation. Accordingly, it is important that boards of directors are aware of their responsibilities and fulfil their duties in a way that protects the interests of shareholders.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it is difficult to identify one specific purpose that all boards of directors are intended to perform, and the overall goal that they should pursue. The trite answer to the second of these questions is that it is the primary responsibility of every board of directors to pursue the “best interests of the corporation”, but there is little unanimity in the literature or the case law as to what that exactly means.</w:t>
      </w:r>
      <w:hyperlink r:id="rId7">
        <w:r w:rsidDel="00000000" w:rsidR="00000000" w:rsidRPr="00000000">
          <w:rPr>
            <w:b w:val="1"/>
            <w:bCs w:val="1"/>
            <w:color w:val="cc0033"/>
            <w:sz w:val="14"/>
            <w:szCs w:val="14"/>
            <w:highlight w:val="white"/>
            <w:rtl w:val="0"/>
          </w:rPr>
          <w:t xml:space="preserve">4</w:t>
        </w:r>
      </w:hyperlink>
      <w:r w:rsidDel="00000000" w:rsidR="00000000" w:rsidRPr="00000000">
        <w:rPr>
          <w:rtl w:val="0"/>
        </w:rPr>
        <w:t xml:space="preserve"> Two generations ago, most business people would likely have declared that the duty of the board of directors was to maximize profits. While that is an extraordinarily narrow focus, at least it is a standard against which success or failure can be measured. In 2019, the federal government attempted to clarify the responsibilities of directors by amending section 122 of the </w:t>
      </w:r>
      <w:r w:rsidDel="00000000" w:rsidR="00000000" w:rsidRPr="00000000">
        <w:rPr>
          <w:i w:val="1"/>
          <w:iCs w:val="1"/>
          <w:rtl w:val="0"/>
        </w:rPr>
        <w:t xml:space="preserve">Canada Business Corporations Act</w:t>
      </w:r>
      <w:hyperlink r:id="rId8">
        <w:r w:rsidDel="00000000" w:rsidR="00000000" w:rsidRPr="00000000">
          <w:rPr>
            <w:b w:val="1"/>
            <w:bCs w:val="1"/>
            <w:color w:val="cc0033"/>
            <w:sz w:val="14"/>
            <w:szCs w:val="14"/>
            <w:highlight w:val="white"/>
            <w:rtl w:val="0"/>
          </w:rPr>
          <w:t xml:space="preserve">5</w:t>
        </w:r>
      </w:hyperlink>
      <w:r w:rsidDel="00000000" w:rsidR="00000000" w:rsidRPr="00000000">
        <w:rPr>
          <w:rtl w:val="0"/>
        </w:rPr>
        <w:t xml:space="preserve"> so that it now reads as follows (in part):</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before="360" w:lineRule="auto"/>
        <w:ind w:left="980" w:hanging="360"/>
        <w:jc w:val="left"/>
      </w:pPr>
      <w:r w:rsidDel="00000000" w:rsidR="00000000" w:rsidRPr="00000000">
        <w:rPr>
          <w:rtl w:val="0"/>
        </w:rPr>
        <w:t xml:space="preserve">(1)</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980" w:hanging="360"/>
        <w:jc w:val="left"/>
      </w:pPr>
      <w:r w:rsidDel="00000000" w:rsidR="00000000" w:rsidRPr="00000000">
        <w:rPr>
          <w:rtl w:val="0"/>
        </w:rPr>
        <w:t xml:space="preserve">Every director and officer of a corporation in exercising their powers and discharging their duties shall</w:t>
      </w:r>
    </w:p>
    <w:p w:rsidR="00000000" w:rsidDel="00000000" w:rsidP="00000000" w:rsidRDefault="00000000" w:rsidRPr="00000000" w14:paraId="0000006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(a)</w:t>
      </w:r>
    </w:p>
    <w:p w:rsidR="00000000" w:rsidDel="00000000" w:rsidP="00000000" w:rsidRDefault="00000000" w:rsidRPr="00000000" w14:paraId="0000006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act honestly and in good faith with a view to the best interests of the corporation; and</w:t>
      </w:r>
    </w:p>
    <w:p w:rsidR="00000000" w:rsidDel="00000000" w:rsidP="00000000" w:rsidRDefault="00000000" w:rsidRPr="00000000" w14:paraId="0000006C">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(b)</w:t>
      </w:r>
    </w:p>
    <w:p w:rsidR="00000000" w:rsidDel="00000000" w:rsidP="00000000" w:rsidRDefault="00000000" w:rsidRPr="00000000" w14:paraId="0000006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exercise the care, diligence and skill that a reasonably prudent person would exercise in comparable circumstances.</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980" w:hanging="360"/>
        <w:jc w:val="left"/>
      </w:pPr>
      <w:r w:rsidDel="00000000" w:rsidR="00000000" w:rsidRPr="00000000">
        <w:rPr>
          <w:rtl w:val="0"/>
        </w:rPr>
        <w:t xml:space="preserve">(1.1)</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980" w:hanging="360"/>
        <w:jc w:val="left"/>
      </w:pPr>
      <w:r w:rsidDel="00000000" w:rsidR="00000000" w:rsidRPr="00000000">
        <w:rPr>
          <w:rtl w:val="0"/>
        </w:rPr>
        <w:t xml:space="preserve">When acting with a view to the best interests of the corporation under paragraph (1)(a), the directors and officers of the corporation may consider, but are not limited to, the following factors:</w:t>
      </w:r>
    </w:p>
    <w:p w:rsidR="00000000" w:rsidDel="00000000" w:rsidP="00000000" w:rsidRDefault="00000000" w:rsidRPr="00000000" w14:paraId="0000007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(a)</w:t>
      </w:r>
    </w:p>
    <w:p w:rsidR="00000000" w:rsidDel="00000000" w:rsidP="00000000" w:rsidRDefault="00000000" w:rsidRPr="00000000" w14:paraId="0000007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the interests of</w:t>
      </w:r>
    </w:p>
    <w:p w:rsidR="00000000" w:rsidDel="00000000" w:rsidP="00000000" w:rsidRDefault="00000000" w:rsidRPr="00000000" w14:paraId="00000072">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(i)</w:t>
      </w:r>
    </w:p>
    <w:p w:rsidR="00000000" w:rsidDel="00000000" w:rsidP="00000000" w:rsidRDefault="00000000" w:rsidRPr="00000000" w14:paraId="00000073">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shareholders,</w:t>
      </w:r>
    </w:p>
    <w:p w:rsidR="00000000" w:rsidDel="00000000" w:rsidP="00000000" w:rsidRDefault="00000000" w:rsidRPr="00000000" w14:paraId="00000074">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(ii)</w:t>
      </w:r>
    </w:p>
    <w:p w:rsidR="00000000" w:rsidDel="00000000" w:rsidP="00000000" w:rsidRDefault="00000000" w:rsidRPr="00000000" w14:paraId="00000075">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employees,</w:t>
      </w:r>
    </w:p>
    <w:p w:rsidR="00000000" w:rsidDel="00000000" w:rsidP="00000000" w:rsidRDefault="00000000" w:rsidRPr="00000000" w14:paraId="00000076">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(iii)</w:t>
      </w:r>
    </w:p>
    <w:p w:rsidR="00000000" w:rsidDel="00000000" w:rsidP="00000000" w:rsidRDefault="00000000" w:rsidRPr="00000000" w14:paraId="00000077">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retirees and pensioners,</w:t>
      </w:r>
    </w:p>
    <w:p w:rsidR="00000000" w:rsidDel="00000000" w:rsidP="00000000" w:rsidRDefault="00000000" w:rsidRPr="00000000" w14:paraId="00000078">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(iv)</w:t>
      </w:r>
    </w:p>
    <w:p w:rsidR="00000000" w:rsidDel="00000000" w:rsidP="00000000" w:rsidRDefault="00000000" w:rsidRPr="00000000" w14:paraId="00000079">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creditors,</w:t>
      </w:r>
    </w:p>
    <w:p w:rsidR="00000000" w:rsidDel="00000000" w:rsidP="00000000" w:rsidRDefault="00000000" w:rsidRPr="00000000" w14:paraId="0000007A">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(v)</w:t>
      </w:r>
    </w:p>
    <w:p w:rsidR="00000000" w:rsidDel="00000000" w:rsidP="00000000" w:rsidRDefault="00000000" w:rsidRPr="00000000" w14:paraId="0000007B">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consumers, and</w:t>
      </w:r>
    </w:p>
    <w:p w:rsidR="00000000" w:rsidDel="00000000" w:rsidP="00000000" w:rsidRDefault="00000000" w:rsidRPr="00000000" w14:paraId="0000007C">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(vi)</w:t>
      </w:r>
    </w:p>
    <w:p w:rsidR="00000000" w:rsidDel="00000000" w:rsidP="00000000" w:rsidRDefault="00000000" w:rsidRPr="00000000" w14:paraId="0000007D">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420" w:hanging="360"/>
        <w:jc w:val="left"/>
      </w:pPr>
      <w:r w:rsidDel="00000000" w:rsidR="00000000" w:rsidRPr="00000000">
        <w:rPr>
          <w:rtl w:val="0"/>
        </w:rPr>
        <w:t xml:space="preserve">governments;</w:t>
      </w:r>
    </w:p>
    <w:p w:rsidR="00000000" w:rsidDel="00000000" w:rsidP="00000000" w:rsidRDefault="00000000" w:rsidRPr="00000000" w14:paraId="0000007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(b)</w:t>
      </w:r>
    </w:p>
    <w:p w:rsidR="00000000" w:rsidDel="00000000" w:rsidP="00000000" w:rsidRDefault="00000000" w:rsidRPr="00000000" w14:paraId="0000007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the environment; and</w:t>
      </w:r>
    </w:p>
    <w:p w:rsidR="00000000" w:rsidDel="00000000" w:rsidP="00000000" w:rsidRDefault="00000000" w:rsidRPr="00000000" w14:paraId="0000008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700" w:hanging="360"/>
        <w:jc w:val="left"/>
      </w:pPr>
      <w:r w:rsidDel="00000000" w:rsidR="00000000" w:rsidRPr="00000000">
        <w:rPr>
          <w:rtl w:val="0"/>
        </w:rPr>
        <w:t xml:space="preserve">(c)</w:t>
      </w:r>
    </w:p>
    <w:p w:rsidR="00000000" w:rsidDel="00000000" w:rsidP="00000000" w:rsidRDefault="00000000" w:rsidRPr="00000000" w14:paraId="00000081">
      <w:pPr>
        <w:numPr>
          <w:ilvl w:val="1"/>
          <w:numId w:val="4"/>
        </w:numPr>
        <w:pBdr>
          <w:top w:color="auto" w:space="0" w:sz="0" w:val="none"/>
          <w:bottom w:color="auto" w:space="0" w:sz="0" w:val="none"/>
          <w:right w:color="auto" w:space="0" w:sz="0" w:val="none"/>
          <w:between w:color="auto" w:space="0" w:sz="0" w:val="none"/>
        </w:pBdr>
        <w:spacing w:after="360" w:before="0" w:beforeAutospacing="0" w:lineRule="auto"/>
        <w:ind w:left="1700" w:hanging="360"/>
        <w:jc w:val="left"/>
      </w:pPr>
      <w:r w:rsidDel="00000000" w:rsidR="00000000" w:rsidRPr="00000000">
        <w:rPr>
          <w:rtl w:val="0"/>
        </w:rPr>
        <w:t xml:space="preserve">the long-term interests of the corporation.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t xml:space="preserve"> by way of preliminary observation, this sentence gives almost no guidance to any director at all. What it does do is afford a misbehaving board a shield behind which they can hide when they divert corporate assets towards their own pet projects and favourite causes, since it is fairly easy to fit just about any expenditure into one or other of the designated classes.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t xml:space="preserve">The more amorphous that the target for corporations becomes, the harder it becomes to decide whether or not the corporation is moving in the right direction, or indeed in any direction at all. As the old saying goes, if you aim for nothing, you will surely hit it. As a board seeks to orient toward a progressively broader range of targets, the closer it moves towards aiming at nothing.</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¶12-13</w:t>
      </w:r>
      <w:r w:rsidDel="00000000" w:rsidR="00000000" w:rsidRPr="00000000">
        <w:rPr>
          <w:rtl w:val="0"/>
        </w:rPr>
        <w:t xml:space="preserve"> </w:t>
      </w:r>
      <w:r w:rsidDel="00000000" w:rsidR="00000000" w:rsidRPr="00000000">
        <w:rPr>
          <w:b w:val="1"/>
          <w:bCs w:val="1"/>
          <w:color w:val="212121"/>
          <w:rtl w:val="0"/>
        </w:rPr>
        <w:t xml:space="preserve">Long-Term Corporate Survival.</w:t>
      </w:r>
      <w:r w:rsidDel="00000000" w:rsidR="00000000" w:rsidRPr="00000000">
        <w:rPr>
          <w:rtl w:val="0"/>
        </w:rPr>
        <w:t xml:space="preserve"> It follows that to survive, and even more so to thrive, businesses need to focus on their long-term interest. Period. If they do, then their shareholders investments will still be worth something in 20 years, their employees who are still wishing to work will still have jobs, their retirees and pensioners will still have their pensions, their creditors will be paid, consumers will still be able to look to them for state-of-the art products and top-quality services, and governments will still be able to tax them. If the environment needs protecting, then the government should pass the laws necessary to make sure that it is protected. That way everybody plays by the same rules. Of course, long-term interest does not mean whimsically dreaming of some fanciful society in which everyone sits around singing </w:t>
      </w:r>
      <w:r w:rsidDel="00000000" w:rsidR="00000000" w:rsidRPr="00000000">
        <w:rPr>
          <w:i w:val="1"/>
          <w:iCs w:val="1"/>
          <w:rtl w:val="0"/>
        </w:rPr>
        <w:t xml:space="preserve">Kumbaya</w:t>
      </w:r>
      <w:r w:rsidDel="00000000" w:rsidR="00000000" w:rsidRPr="00000000">
        <w:rPr>
          <w:rtl w:val="0"/>
        </w:rPr>
        <w:t xml:space="preserve">. It means investing in new products, developing new services, improving the quality of production equipment, and building modern factories so that the corporation will remain competitive, not the least reason being that in that way some of the environmental problems associated with modern production will be corrected.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¶12-14</w:t>
      </w:r>
      <w:r w:rsidDel="00000000" w:rsidR="00000000" w:rsidRPr="00000000">
        <w:rPr>
          <w:rtl w:val="0"/>
        </w:rPr>
        <w:t xml:space="preserve"> Quite possibly, those who drafted subsection 122(1.1) would argue that this is what that subsection (1.1) was intended to mean. However, if that is the case, why is it that the directors are instructed to take the list of identified interests into account when performing their duty to the corporation under clause 122(1)(a), but not when they are performing their duty under clause 122(1)(b)? The current ordering of section 122 seems to suggest clearly that first directors must serve all the identified interest groups, and then exercise reasonable care to maintain the corporation as a viable business.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¶12-15</w:t>
      </w:r>
      <w:r w:rsidDel="00000000" w:rsidR="00000000" w:rsidRPr="00000000">
        <w:rPr>
          <w:rtl w:val="0"/>
        </w:rPr>
        <w:t xml:space="preserve"> </w:t>
      </w:r>
      <w:r w:rsidDel="00000000" w:rsidR="00000000" w:rsidRPr="00000000">
        <w:rPr>
          <w:b w:val="1"/>
          <w:bCs w:val="1"/>
          <w:color w:val="212121"/>
          <w:rtl w:val="0"/>
        </w:rPr>
        <w:t xml:space="preserve">The Social Benefit of Profit Maximization.</w:t>
      </w:r>
      <w:r w:rsidDel="00000000" w:rsidR="00000000" w:rsidRPr="00000000">
        <w:rPr>
          <w:rtl w:val="0"/>
        </w:rPr>
        <w:t xml:space="preserve"> Maximizing profit does not simply benefit the shareholders of a corporation. It benefits everyone who is concerned with the corporation. A corporation which is profitable can afford to pay its workers more than a corporation that merely breaks even or that loses money. Why would it do so? Because most boards are smart enough to realize that they will lose money and customers if there is a prolonged strike. Furthermore, if an employer tries to cheat its workers, they will try to cheat back—and generally speaking, workers will be far better at cheating the company that they work for than the company is likely to be at cheating them. Also, for the most part, the law is on the side of the “downtrodden” workers. A profitable corporation pays its suppliers on time and in full. Why? Because if it does not, those who continue to supply will demand cash-on-delivery, and some suppliers will likely stop supplying at all. A profitable corporation pays its real property taxes on time and in full, and remits the tax it has withheld from its employees to the Canada Revenue Agency on a timely basis. Why? Because that way the corporation avoids penalties, not to mention those nasty tax-audit people and their persistent busy-body questioning. A corporation that is profitable has the money to address environmental issues. Why? Because there is no point in getting hit with a costly fine, damaging the corporation’s reputation, and then still having to fix up the environmental problems that have arisen. A corporation that is profitable has money available to spend on improving its goodwill within the community—as for instance, by sponsoring children’s sports or local cultural events. Why? Because corporate management live in the same town, as do the corporation’s workers, and for the most part, they are the ones who decide whether to make such expenditures.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b w:val="1"/>
          <w:bCs w:val="1"/>
          <w:color w:val="cc0033"/>
          <w:sz w:val="14"/>
          <w:szCs w:val="14"/>
          <w:highlight w:val="white"/>
        </w:rPr>
      </w:pPr>
      <w:r w:rsidDel="00000000" w:rsidR="00000000" w:rsidRPr="00000000">
        <w:rPr>
          <w:b w:val="1"/>
          <w:bCs w:val="1"/>
          <w:color w:val="212121"/>
          <w:rtl w:val="0"/>
        </w:rPr>
        <w:t xml:space="preserve">¶12-16</w:t>
      </w:r>
      <w:r w:rsidDel="00000000" w:rsidR="00000000" w:rsidRPr="00000000">
        <w:rPr>
          <w:rtl w:val="0"/>
        </w:rPr>
        <w:t xml:space="preserve"> </w:t>
      </w:r>
      <w:r w:rsidDel="00000000" w:rsidR="00000000" w:rsidRPr="00000000">
        <w:rPr>
          <w:b w:val="1"/>
          <w:bCs w:val="1"/>
          <w:color w:val="212121"/>
          <w:rtl w:val="0"/>
        </w:rPr>
        <w:t xml:space="preserve">Agency Theory.</w:t>
      </w:r>
      <w:r w:rsidDel="00000000" w:rsidR="00000000" w:rsidRPr="00000000">
        <w:rPr>
          <w:rtl w:val="0"/>
        </w:rPr>
        <w:t xml:space="preserve"> An underlying economic purpose of a board of directors is to provide a mechanism to address the problems inherent in agency relationships. In economics, agency theory is concerned with the risks that a principal assumes when he or she entrusts assets to the management of an agent of some kind (note that the terms “principal” and “agent” in this context are used in their economic sense, and accordingly have a broader meaning than they normally carry in the legal context). When the principal (in the corporate context, the shareholder) entrusts the management of a corporation to an agent (which may be the board of directors, a chief executive officer appointed by a board, or the entire executive officer team), an economic “agency relationship” is formed. Agency relationships can range from single-principal-single-agent relationships to more complex multiple-principal-single-agent or single-principal-multiple-agent relationships. Multiple level agency relationships are always evident in public companies, and they may even be present to a degree in the case of owner-operated private business companies.</w:t>
      </w:r>
      <w:hyperlink r:id="rId9">
        <w:r w:rsidDel="00000000" w:rsidR="00000000" w:rsidRPr="00000000">
          <w:rPr>
            <w:b w:val="1"/>
            <w:bCs w:val="1"/>
            <w:color w:val="cc0033"/>
            <w:sz w:val="14"/>
            <w:szCs w:val="14"/>
            <w:highlight w:val="white"/>
            <w:rtl w:val="0"/>
          </w:rPr>
          <w:t xml:space="preserve">8</w:t>
        </w:r>
      </w:hyperlink>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b w:val="1"/>
          <w:bCs w:val="1"/>
          <w:color w:val="cc0033"/>
          <w:sz w:val="14"/>
          <w:szCs w:val="14"/>
          <w:highlight w:val="white"/>
        </w:rPr>
      </w:pPr>
      <w:r w:rsidDel="00000000" w:rsidR="00000000" w:rsidRPr="00000000">
        <w:rPr>
          <w:b w:val="1"/>
          <w:bCs w:val="1"/>
          <w:color w:val="212121"/>
          <w:rtl w:val="0"/>
        </w:rPr>
        <w:t xml:space="preserve">¶12-17</w:t>
      </w:r>
      <w:r w:rsidDel="00000000" w:rsidR="00000000" w:rsidRPr="00000000">
        <w:rPr>
          <w:rtl w:val="0"/>
        </w:rPr>
        <w:t xml:space="preserve"> Agency theory in the corporate context focuses mainly on the differentiation of the interests of the shareholders of a corporation, (who, from an economic if not legal perspective, are the principals), and the board of directors and executive officers of a corporation (who are the agents from an economic perspective).</w:t>
      </w:r>
      <w:hyperlink r:id="rId10">
        <w:r w:rsidDel="00000000" w:rsidR="00000000" w:rsidRPr="00000000">
          <w:rPr>
            <w:b w:val="1"/>
            <w:bCs w:val="1"/>
            <w:color w:val="cc0033"/>
            <w:sz w:val="14"/>
            <w:szCs w:val="14"/>
            <w:highlight w:val="white"/>
            <w:rtl w:val="0"/>
          </w:rPr>
          <w:t xml:space="preserve">9</w:t>
        </w:r>
      </w:hyperlink>
      <w:r w:rsidDel="00000000" w:rsidR="00000000" w:rsidRPr="00000000">
        <w:rPr>
          <w:rtl w:val="0"/>
        </w:rPr>
        <w:t xml:space="preserve"> However, subsidiary principal-agent relationships exist within the management hierarchy, as for instance between the chief executive officer (as principal) and the divisional vice-presidents (as agents), and then between each vice-president and the lower level officers who report to him or her. In economics, agency theory postulates that because each notional principal and the agents who serve under him or her have different interests, there is a risk that any or all of the agents will engage in acts that are incompatible with the interests of the principals. Such inconsistency is referred to as an agency problem. In this Chapter, a critical area of concern is the extent to which the law governing the authority and conduct of directors responds effectively to the principal agent problem.</w:t>
      </w:r>
      <w:hyperlink r:id="rId11">
        <w:r w:rsidDel="00000000" w:rsidR="00000000" w:rsidRPr="00000000">
          <w:rPr>
            <w:b w:val="1"/>
            <w:bCs w:val="1"/>
            <w:color w:val="cc0033"/>
            <w:sz w:val="14"/>
            <w:szCs w:val="14"/>
            <w:highlight w:val="white"/>
            <w:rtl w:val="0"/>
          </w:rPr>
          <w:t xml:space="preserve">10</w:t>
        </w:r>
      </w:hyperlink>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pPr>
      <w:r w:rsidDel="00000000" w:rsidR="00000000" w:rsidRPr="00000000">
        <w:rPr>
          <w:b w:val="1"/>
          <w:bCs w:val="1"/>
          <w:color w:val="212121"/>
          <w:rtl w:val="0"/>
        </w:rPr>
        <w:t xml:space="preserve">¶12-18</w:t>
      </w:r>
      <w:r w:rsidDel="00000000" w:rsidR="00000000" w:rsidRPr="00000000">
        <w:rPr>
          <w:rtl w:val="0"/>
        </w:rPr>
        <w:t xml:space="preserve"> </w:t>
      </w:r>
      <w:r w:rsidDel="00000000" w:rsidR="00000000" w:rsidRPr="00000000">
        <w:rPr>
          <w:b w:val="1"/>
          <w:bCs w:val="1"/>
          <w:color w:val="212121"/>
          <w:rtl w:val="0"/>
        </w:rPr>
        <w:t xml:space="preserve">Conflicting Incentives.</w:t>
      </w:r>
      <w:r w:rsidDel="00000000" w:rsidR="00000000" w:rsidRPr="00000000">
        <w:rPr>
          <w:rtl w:val="0"/>
        </w:rPr>
        <w:t xml:space="preserve"> Principal agent problems do not necessarily relate to employee defalcation. Even the most honest of employees, directors and other agents may still act in a manner that exposes the ultimate principal (</w:t>
      </w:r>
      <w:r w:rsidDel="00000000" w:rsidR="00000000" w:rsidRPr="00000000">
        <w:rPr>
          <w:i w:val="1"/>
          <w:iCs w:val="1"/>
          <w:rtl w:val="0"/>
        </w:rPr>
        <w:t xml:space="preserve">i.e.</w:t>
      </w:r>
      <w:r w:rsidDel="00000000" w:rsidR="00000000" w:rsidRPr="00000000">
        <w:rPr>
          <w:rtl w:val="0"/>
        </w:rPr>
        <w:t xml:space="preserve">, the shareholder) to a level of risk higher than the principal might have anticipated, because (a) the agent is under economic incentives</w:t>
      </w:r>
      <w:hyperlink r:id="rId12">
        <w:r w:rsidDel="00000000" w:rsidR="00000000" w:rsidRPr="00000000">
          <w:rPr>
            <w:b w:val="1"/>
            <w:bCs w:val="1"/>
            <w:color w:val="cc0033"/>
            <w:sz w:val="14"/>
            <w:szCs w:val="14"/>
            <w:highlight w:val="white"/>
            <w:rtl w:val="0"/>
          </w:rPr>
          <w:t xml:space="preserve">11</w:t>
        </w:r>
      </w:hyperlink>
      <w:r w:rsidDel="00000000" w:rsidR="00000000" w:rsidRPr="00000000">
        <w:rPr>
          <w:rtl w:val="0"/>
        </w:rPr>
        <w:t xml:space="preserve"> (either in the forms of performance incentives or risks to the agent concerned) that encourage the agent to behave in a particular way, whether or not it is in the interest of his or her principal to do so; and (b) due to the broken telegraph problem—the directions given by the board tend to get muddled as they make their way down the corporate pyramid from the board level to the factory floor or the sales room.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¶12-19</w:t>
      </w:r>
      <w:r w:rsidDel="00000000" w:rsidR="00000000" w:rsidRPr="00000000">
        <w:rPr>
          <w:rtl w:val="0"/>
        </w:rPr>
        <w:t xml:space="preserve"> </w:t>
      </w:r>
      <w:r w:rsidDel="00000000" w:rsidR="00000000" w:rsidRPr="00000000">
        <w:rPr>
          <w:b w:val="1"/>
          <w:bCs w:val="1"/>
          <w:color w:val="212121"/>
          <w:rtl w:val="0"/>
        </w:rPr>
        <w:t xml:space="preserve">Economic Forces that Encourage Risk-Taking.</w:t>
      </w:r>
      <w:r w:rsidDel="00000000" w:rsidR="00000000" w:rsidRPr="00000000">
        <w:rPr>
          <w:rtl w:val="0"/>
        </w:rPr>
        <w:t xml:space="preserve"> In relation to incentive-related problems, it seems intuitively likely that corporate agents will be tempted to take higher level risks where job security is low, and where securities markets expect and demand high levels of return on investment. In such a situation, high level corporate agents (</w:t>
      </w:r>
      <w:r w:rsidDel="00000000" w:rsidR="00000000" w:rsidRPr="00000000">
        <w:rPr>
          <w:i w:val="1"/>
          <w:iCs w:val="1"/>
          <w:rtl w:val="0"/>
        </w:rPr>
        <w:t xml:space="preserve">i.e.</w:t>
      </w:r>
      <w:r w:rsidDel="00000000" w:rsidR="00000000" w:rsidRPr="00000000">
        <w:rPr>
          <w:rtl w:val="0"/>
        </w:rPr>
        <w:t xml:space="preserve">, the senior officers) run the chance of assuming a degree of personal risk if they confine corporation action through prudent management and by so doing fail to satisfy investor expectations in relation to the corporation’s financial performance. In such a case, a coalition of shareholder (ownership) interests may elect to terminate the agent’s employment relationship due to their failure to meet market expectations. This may happen even when the reason for this is that the agent is avoiding high levels of risk, concentrating instead on building the financial strength of the corporation over time. Employee compensation arrangements can worsen the problem, by encouraging corporate officers to take on high risk in the expectation that if a projected profit from a high-risk scheme pans out, the officers concerned will be rewarded for their efforts.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300" w:before="300" w:line="432" w:lineRule="auto"/>
        <w:ind w:left="20" w:right="20" w:firstLine="0"/>
        <w:rPr>
          <w:b w:val="1"/>
          <w:bCs w:val="1"/>
          <w:color w:val="cc0033"/>
          <w:sz w:val="14"/>
          <w:szCs w:val="14"/>
          <w:highlight w:val="white"/>
        </w:rPr>
      </w:pPr>
      <w:r w:rsidDel="00000000" w:rsidR="00000000" w:rsidRPr="00000000">
        <w:rPr>
          <w:b w:val="1"/>
          <w:bCs w:val="1"/>
          <w:color w:val="212121"/>
          <w:rtl w:val="0"/>
        </w:rPr>
        <w:t xml:space="preserve">¶12-20</w:t>
      </w:r>
      <w:r w:rsidDel="00000000" w:rsidR="00000000" w:rsidRPr="00000000">
        <w:rPr>
          <w:rtl w:val="0"/>
        </w:rPr>
        <w:t xml:space="preserve"> </w:t>
      </w:r>
      <w:r w:rsidDel="00000000" w:rsidR="00000000" w:rsidRPr="00000000">
        <w:rPr>
          <w:b w:val="1"/>
          <w:bCs w:val="1"/>
          <w:color w:val="212121"/>
          <w:rtl w:val="0"/>
        </w:rPr>
        <w:t xml:space="preserve">Approaches to Regulation.</w:t>
      </w:r>
      <w:r w:rsidDel="00000000" w:rsidR="00000000" w:rsidRPr="00000000">
        <w:rPr>
          <w:rtl w:val="0"/>
        </w:rPr>
        <w:t xml:space="preserve"> The regulatory process frequently seeks to constrain corporate behaviour by subjecting corporations to specific rules governing the manner in which they conduct business generally or specific aspects of their business. Two fundamental approaches may be taken by government regulatory agencies in relation to corporate governance issues. They are: (a) Mandatory compliance requirements (</w:t>
      </w:r>
      <w:r w:rsidDel="00000000" w:rsidR="00000000" w:rsidRPr="00000000">
        <w:rPr>
          <w:i w:val="1"/>
          <w:iCs w:val="1"/>
          <w:rtl w:val="0"/>
        </w:rPr>
        <w:t xml:space="preserve">i.e.</w:t>
      </w:r>
      <w:r w:rsidDel="00000000" w:rsidR="00000000" w:rsidRPr="00000000">
        <w:rPr>
          <w:rtl w:val="0"/>
        </w:rPr>
        <w:t xml:space="preserve">, provisions that must be obeyed without exception, as for instance the restriction the circumstances in which dividend payments may be made)—we will refer to this option and the comply-or-else approach; (b) The second approach may be referred to as the comply-or-explain approach—in such cases, regulatory requirements are set down in the form of a rule that will govern the normal operations in a prescribed manner. However, each individual business is allowed to depart from the rule where this fact is both disclosed and a satisfactory explanation is provided as to why the presumptive rule has not been followed.</w:t>
      </w:r>
      <w:hyperlink r:id="rId13">
        <w:r w:rsidDel="00000000" w:rsidR="00000000" w:rsidRPr="00000000">
          <w:rPr>
            <w:b w:val="1"/>
            <w:bCs w:val="1"/>
            <w:color w:val="cc0033"/>
            <w:sz w:val="14"/>
            <w:szCs w:val="14"/>
            <w:highlight w:val="white"/>
            <w:rtl w:val="0"/>
          </w:rPr>
          <w:t xml:space="preserve">12</w:t>
        </w:r>
      </w:hyperlink>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¶12-21</w:t>
      </w:r>
      <w:r w:rsidDel="00000000" w:rsidR="00000000" w:rsidRPr="00000000">
        <w:rPr>
          <w:rtl w:val="0"/>
        </w:rPr>
        <w:t xml:space="preserve"> </w:t>
      </w:r>
      <w:r w:rsidDel="00000000" w:rsidR="00000000" w:rsidRPr="00000000">
        <w:rPr>
          <w:b w:val="1"/>
          <w:bCs w:val="1"/>
          <w:color w:val="212121"/>
          <w:rtl w:val="0"/>
        </w:rPr>
        <w:t xml:space="preserve">Comply or Else.</w:t>
      </w:r>
      <w:r w:rsidDel="00000000" w:rsidR="00000000" w:rsidRPr="00000000">
        <w:rPr>
          <w:rtl w:val="0"/>
        </w:rPr>
        <w:t xml:space="preserve"> The comply-or-else approach presupposes that the mandatory rules governing corporate operations have been set by a body that has a firm grasp on the manner in which businesses should be operated, and is sufficiently attuned to the modern world to be able to spot when it is necessary to modify a given mandatory condition. This is quite a challenge, particularly when decisions of this kind are entrusted to bureaucrats rather than business people. Typically, bureaucrats are not especially interested in new and innovative solutions. Their own jobs depend on seeing that those whom they regulate follow an approved procedure and process. Unfortunately, in an age of both continuous ongoing technical change and securities markets that do not take kindly to delay in the production of results, it will be difficult for regulatory authorities to anticipate changes that are taking place in the world around them. Without being in any way critical of government regulators </w:t>
      </w:r>
      <w:r w:rsidDel="00000000" w:rsidR="00000000" w:rsidRPr="00000000">
        <w:rPr>
          <w:i w:val="1"/>
          <w:iCs w:val="1"/>
          <w:rtl w:val="0"/>
        </w:rPr>
        <w:t xml:space="preserve">per se</w:t>
      </w:r>
      <w:r w:rsidDel="00000000" w:rsidR="00000000" w:rsidRPr="00000000">
        <w:rPr>
          <w:rtl w:val="0"/>
        </w:rPr>
        <w:t xml:space="preserve">, business inherently involves the taking of risk. In many respects, business can be viewed as a calculated wager: even when the prospect of profit seems strong, there is always a degree of risk. Regulators, on the other hand, are about as risk averse as a given segment of the population can be.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¶12-22</w:t>
      </w:r>
      <w:r w:rsidDel="00000000" w:rsidR="00000000" w:rsidRPr="00000000">
        <w:rPr>
          <w:rtl w:val="0"/>
        </w:rPr>
        <w:t xml:space="preserve"> </w:t>
      </w:r>
      <w:r w:rsidDel="00000000" w:rsidR="00000000" w:rsidRPr="00000000">
        <w:rPr>
          <w:b w:val="1"/>
          <w:bCs w:val="1"/>
          <w:color w:val="212121"/>
          <w:rtl w:val="0"/>
        </w:rPr>
        <w:t xml:space="preserve">Comply or Explain.</w:t>
      </w:r>
      <w:r w:rsidDel="00000000" w:rsidR="00000000" w:rsidRPr="00000000">
        <w:rPr>
          <w:rtl w:val="0"/>
        </w:rPr>
        <w:t xml:space="preserve"> The comply-or-explain approach has the advantage of flexibility, allowing governance norms to be tailored to suit the specific characteristics of individual companies. It is often argued that this will lead to more efficient corporate governance results when compared to the “one size fits all” comply-or-else approach. Yet, the effectiveness of the comply-or-explain approach presupposes the existence of many institutional conditions pertaining to the ownership and control structure of businesses, responsibility and transparency of financial operations, efficient stock markets and the availability of proper incentives to encourage some sorts of behaviour by shareholders and management and discourage others. However, there is one further weakness: unless and until someone repeals the law of nature that a fool and his money are soon parted, the comply and explain approach offers no real protection. A </w:t>
      </w:r>
      <w:r w:rsidDel="00000000" w:rsidR="00000000" w:rsidRPr="00000000">
        <w:rPr>
          <w:i w:val="1"/>
          <w:iCs w:val="1"/>
          <w:rtl w:val="0"/>
        </w:rPr>
        <w:t xml:space="preserve">prima facie</w:t>
      </w:r>
      <w:r w:rsidDel="00000000" w:rsidR="00000000" w:rsidRPr="00000000">
        <w:rPr>
          <w:rtl w:val="0"/>
        </w:rPr>
        <w:t xml:space="preserve"> explanation can be offered for most business approaches. However, the ability to concoct a superficially plausible excuse should not be taken suggest that any given approach is likely to be sound. Moreover, if non-compliance and explanations abound, one must confront the basic question as to why we have the rule at all? If explanations are widespread and compliance is scarce, the implicit conclusion must surely be that the preferred approach is simply not correct.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b w:val="1"/>
          <w:bCs w:val="1"/>
          <w:color w:val="212121"/>
          <w:rtl w:val="0"/>
        </w:rPr>
        <w:t xml:space="preserve">¶12-23</w:t>
      </w:r>
      <w:r w:rsidDel="00000000" w:rsidR="00000000" w:rsidRPr="00000000">
        <w:rPr>
          <w:rtl w:val="0"/>
        </w:rPr>
        <w:t xml:space="preserve"> Although they form the underlying conflict within which the regulation of corporate business operates, a comprehensive study of these approaches to regulation is outside the scope of this work. Instead, in this Chapter we will primarily explain the overall terms of the director governance model employed in Canada, making occasional points as to where it appears to be working, and where it has failed significantly whether in Canada or in another jurisdiction that employs a similar overall approach. However, in reviewing the role of the directors in the management of a corporation, it is important to bear in mind the difficult balancing act that directors must generally walk in reconciling risk with the possibility of return.</w:t>
      </w:r>
    </w:p>
    <w:p w:rsidR="00000000" w:rsidDel="00000000" w:rsidP="00000000" w:rsidRDefault="00000000" w:rsidRPr="00000000" w14:paraId="00000091">
      <w:pPr>
        <w:spacing w:before="30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A">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w:t>
      </w:r>
    </w:p>
    <w:p w:rsidR="00000000" w:rsidDel="00000000" w:rsidP="00000000" w:rsidRDefault="00000000" w:rsidRPr="00000000" w14:paraId="0000009B">
      <w:pPr>
        <w:numPr>
          <w:ilvl w:val="0"/>
          <w:numId w:val="1"/>
        </w:numPr>
        <w:spacing w:before="0" w:line="240" w:lineRule="auto"/>
        <w:ind w:left="720" w:hanging="360"/>
        <w:rPr>
          <w:sz w:val="20"/>
          <w:szCs w:val="20"/>
          <w:u w:val="none"/>
        </w:rPr>
      </w:pPr>
      <w:r w:rsidDel="00000000" w:rsidR="00000000" w:rsidRPr="00000000">
        <w:rPr>
          <w:sz w:val="20"/>
          <w:szCs w:val="20"/>
          <w:rtl w:val="0"/>
        </w:rPr>
        <w:t xml:space="preserve">Composition of the board of directors.</w:t>
      </w:r>
    </w:p>
    <w:p w:rsidR="00000000" w:rsidDel="00000000" w:rsidP="00000000" w:rsidRDefault="00000000" w:rsidRPr="00000000" w14:paraId="0000009C">
      <w:pPr>
        <w:pStyle w:val="Subtitle"/>
        <w:numPr>
          <w:ilvl w:val="0"/>
          <w:numId w:val="1"/>
        </w:numPr>
        <w:ind w:left="720" w:hanging="360"/>
        <w:rPr>
          <w:sz w:val="20"/>
          <w:szCs w:val="20"/>
        </w:rPr>
      </w:pPr>
      <w:bookmarkStart w:colFirst="0" w:colLast="0" w:name="_9cgv3zbmrg95" w:id="19"/>
      <w:bookmarkEnd w:id="19"/>
      <w:r w:rsidDel="00000000" w:rsidR="00000000" w:rsidRPr="00000000">
        <w:rPr>
          <w:sz w:val="20"/>
          <w:szCs w:val="20"/>
          <w:rtl w:val="0"/>
        </w:rPr>
        <w:t xml:space="preserve">Meetings of independent directors.</w:t>
      </w:r>
    </w:p>
    <w:p w:rsidR="00000000" w:rsidDel="00000000" w:rsidP="00000000" w:rsidRDefault="00000000" w:rsidRPr="00000000" w14:paraId="0000009D">
      <w:pPr>
        <w:pStyle w:val="Subtitle"/>
        <w:numPr>
          <w:ilvl w:val="0"/>
          <w:numId w:val="1"/>
        </w:numPr>
        <w:ind w:left="720" w:hanging="360"/>
        <w:rPr>
          <w:sz w:val="20"/>
          <w:szCs w:val="20"/>
        </w:rPr>
      </w:pPr>
      <w:bookmarkStart w:colFirst="0" w:colLast="0" w:name="_ek6p5vpdzvvj" w:id="20"/>
      <w:bookmarkEnd w:id="20"/>
      <w:r w:rsidDel="00000000" w:rsidR="00000000" w:rsidRPr="00000000">
        <w:rPr>
          <w:sz w:val="20"/>
          <w:szCs w:val="20"/>
          <w:rtl w:val="0"/>
        </w:rPr>
        <w:t xml:space="preserve">Adoption of a written mandate of the board of directors.</w:t>
      </w:r>
    </w:p>
    <w:p w:rsidR="00000000" w:rsidDel="00000000" w:rsidP="00000000" w:rsidRDefault="00000000" w:rsidRPr="00000000" w14:paraId="0000009E">
      <w:pPr>
        <w:pStyle w:val="Subtitle"/>
        <w:numPr>
          <w:ilvl w:val="0"/>
          <w:numId w:val="1"/>
        </w:numPr>
        <w:ind w:left="720" w:hanging="360"/>
        <w:rPr>
          <w:sz w:val="20"/>
          <w:szCs w:val="20"/>
        </w:rPr>
      </w:pPr>
      <w:bookmarkStart w:colFirst="0" w:colLast="0" w:name="_w7z0v7pqa0gq" w:id="21"/>
      <w:bookmarkEnd w:id="21"/>
      <w:r w:rsidDel="00000000" w:rsidR="00000000" w:rsidRPr="00000000">
        <w:rPr>
          <w:sz w:val="20"/>
          <w:szCs w:val="20"/>
          <w:rtl w:val="0"/>
        </w:rPr>
        <w:t xml:space="preserve">Development of position descriptions for the chief executive officer, the chair of the board</w:t>
        <w:br w:type="textWrapping"/>
        <w:t xml:space="preserve">and each board committee.</w:t>
      </w:r>
    </w:p>
    <w:p w:rsidR="00000000" w:rsidDel="00000000" w:rsidP="00000000" w:rsidRDefault="00000000" w:rsidRPr="00000000" w14:paraId="0000009F">
      <w:pPr>
        <w:pStyle w:val="Subtitle"/>
        <w:numPr>
          <w:ilvl w:val="0"/>
          <w:numId w:val="1"/>
        </w:numPr>
        <w:ind w:left="720" w:hanging="360"/>
        <w:rPr>
          <w:sz w:val="20"/>
          <w:szCs w:val="20"/>
        </w:rPr>
      </w:pPr>
      <w:bookmarkStart w:colFirst="0" w:colLast="0" w:name="_k6y9jxb22h15" w:id="22"/>
      <w:bookmarkEnd w:id="22"/>
      <w:r w:rsidDel="00000000" w:rsidR="00000000" w:rsidRPr="00000000">
        <w:rPr>
          <w:sz w:val="20"/>
          <w:szCs w:val="20"/>
          <w:rtl w:val="0"/>
        </w:rPr>
        <w:t xml:space="preserve">Orientation and continuing education for each director.</w:t>
      </w:r>
    </w:p>
    <w:p w:rsidR="00000000" w:rsidDel="00000000" w:rsidP="00000000" w:rsidRDefault="00000000" w:rsidRPr="00000000" w14:paraId="000000A0">
      <w:pPr>
        <w:pStyle w:val="Subtitle"/>
        <w:numPr>
          <w:ilvl w:val="0"/>
          <w:numId w:val="1"/>
        </w:numPr>
        <w:ind w:left="720" w:hanging="360"/>
        <w:rPr>
          <w:sz w:val="20"/>
          <w:szCs w:val="20"/>
        </w:rPr>
      </w:pPr>
      <w:bookmarkStart w:colFirst="0" w:colLast="0" w:name="_274m6g1m4kb3" w:id="23"/>
      <w:bookmarkEnd w:id="23"/>
      <w:r w:rsidDel="00000000" w:rsidR="00000000" w:rsidRPr="00000000">
        <w:rPr>
          <w:sz w:val="20"/>
          <w:szCs w:val="20"/>
          <w:rtl w:val="0"/>
        </w:rPr>
        <w:t xml:space="preserve">Adoption of codes of conduct and ethics.</w:t>
      </w:r>
    </w:p>
    <w:p w:rsidR="00000000" w:rsidDel="00000000" w:rsidP="00000000" w:rsidRDefault="00000000" w:rsidRPr="00000000" w14:paraId="000000A1">
      <w:pPr>
        <w:pStyle w:val="Subtitle"/>
        <w:numPr>
          <w:ilvl w:val="0"/>
          <w:numId w:val="1"/>
        </w:numPr>
        <w:ind w:left="720" w:hanging="360"/>
        <w:rPr>
          <w:sz w:val="20"/>
          <w:szCs w:val="20"/>
        </w:rPr>
      </w:pPr>
      <w:bookmarkStart w:colFirst="0" w:colLast="0" w:name="_7wl0jhxvn4h" w:id="24"/>
      <w:bookmarkEnd w:id="24"/>
      <w:r w:rsidDel="00000000" w:rsidR="00000000" w:rsidRPr="00000000">
        <w:rPr>
          <w:sz w:val="20"/>
          <w:szCs w:val="20"/>
          <w:rtl w:val="0"/>
        </w:rPr>
        <w:t xml:space="preserve">Nomination and remuneration of directors.</w:t>
      </w:r>
    </w:p>
    <w:p w:rsidR="00000000" w:rsidDel="00000000" w:rsidP="00000000" w:rsidRDefault="00000000" w:rsidRPr="00000000" w14:paraId="000000A2">
      <w:pPr>
        <w:pStyle w:val="Subtitle"/>
        <w:numPr>
          <w:ilvl w:val="0"/>
          <w:numId w:val="1"/>
        </w:numPr>
        <w:ind w:left="720" w:hanging="360"/>
        <w:rPr>
          <w:sz w:val="20"/>
          <w:szCs w:val="20"/>
        </w:rPr>
      </w:pPr>
      <w:bookmarkStart w:colFirst="0" w:colLast="0" w:name="_hp1sruz4y1u" w:id="25"/>
      <w:bookmarkEnd w:id="25"/>
      <w:r w:rsidDel="00000000" w:rsidR="00000000" w:rsidRPr="00000000">
        <w:rPr>
          <w:sz w:val="20"/>
          <w:szCs w:val="20"/>
          <w:rtl w:val="0"/>
        </w:rPr>
        <w:t xml:space="preserve">Performance assessment of the board and individual directors.</w:t>
        <w:br w:type="textWrapping"/>
        <w:t xml:space="preserve">Further, the Company is required to disclose information about its corporate governance practices in accordance with National Instrument 58-101 - Disclosure of Corporate Governance Practices and the policies of the TSX.</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Lato" w:cs="Lato" w:eastAsia="Lato" w:hAnsi="Lato"/>
        <w:color w:val="212121"/>
        <w:sz w:val="21"/>
        <w:szCs w:val="21"/>
        <w:u w:val="none"/>
      </w:rPr>
    </w:lvl>
    <w:lvl w:ilvl="1">
      <w:start w:val="1"/>
      <w:numFmt w:val="bullet"/>
      <w:lvlText w:val=""/>
      <w:lvlJc w:val="left"/>
      <w:pPr>
        <w:ind w:left="1440" w:hanging="360"/>
      </w:pPr>
      <w:rPr>
        <w:rFonts w:ascii="Lato" w:cs="Lato" w:eastAsia="Lato" w:hAnsi="Lato"/>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10"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13"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12"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 Id="rId8" Type="http://schemas.openxmlformats.org/officeDocument/2006/relationships/hyperlink" Target="https://advance.lexis.com/document/?pdmfid=1505209&amp;crid=751cf538-b9bc-4df2-a179-140867421a90&amp;pddocfullpath=%2Fshared%2Fdocument%2Fanalytical-materials-ca%2Furn%3AcontentItem%3A6950-9MC1-JW5H-X25K-00000-00&amp;pdtocnodeidentifier=AAFAABAAB&amp;ecomp=465g&amp;prid=dad77c21-7520-41c4-b455-abbd751a64e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