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CEO Initiated Corporate Governance</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1"/>
        <w:rPr/>
      </w:pPr>
      <w:bookmarkStart w:colFirst="0" w:colLast="0" w:name="_wf64dik94e7o" w:id="3"/>
      <w:bookmarkEnd w:id="3"/>
      <w:r w:rsidDel="00000000" w:rsidR="00000000" w:rsidRPr="00000000">
        <w:rPr>
          <w:rtl w:val="0"/>
        </w:rPr>
        <w:t xml:space="preserve">CEO Report to Directors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CEO must report to the directors at every annual directors meeting:</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80" w:lineRule="auto"/>
        <w:ind w:left="720" w:hanging="36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the case of a company that is not an offering corporation, the financial statements;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report of the auditor, if any; and</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hd w:fill="ffffff" w:val="clear"/>
        <w:spacing w:after="280" w:before="0" w:beforeAutospacing="0" w:lineRule="auto"/>
        <w:ind w:left="720" w:hanging="36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any further information respecting the financial position of the corporation and the results of its operations required by the articles, the by-laws or any unanimous </w:t>
      </w:r>
      <w:r w:rsidDel="00000000" w:rsidR="00000000" w:rsidRPr="00000000">
        <w:rPr>
          <w:rFonts w:ascii="Verdana" w:cs="Verdana" w:eastAsia="Verdana" w:hAnsi="Verdana"/>
          <w:color w:val="212121"/>
          <w:sz w:val="18"/>
          <w:szCs w:val="18"/>
          <w:rtl w:val="0"/>
        </w:rPr>
        <w:t xml:space="preserve">shareholder agreement</w:t>
      </w:r>
      <w:r w:rsidDel="00000000" w:rsidR="00000000" w:rsidRPr="00000000">
        <w:rPr>
          <w:rFonts w:ascii="Verdana" w:cs="Verdana" w:eastAsia="Verdana" w:hAnsi="Verdana"/>
          <w:color w:val="212121"/>
          <w:sz w:val="18"/>
          <w:szCs w:val="18"/>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pPr>
      <w:bookmarkStart w:colFirst="0" w:colLast="0" w:name="_e08124qch30g" w:id="4"/>
      <w:bookmarkEnd w:id="4"/>
      <w:r w:rsidDel="00000000" w:rsidR="00000000" w:rsidRPr="00000000">
        <w:rPr>
          <w:rtl w:val="0"/>
        </w:rPr>
        <w:t xml:space="preserve">Annual General Meetings</w:t>
      </w:r>
    </w:p>
    <w:p w:rsidR="00000000" w:rsidDel="00000000" w:rsidP="00000000" w:rsidRDefault="00000000" w:rsidRPr="00000000" w14:paraId="0000000F">
      <w:pPr>
        <w:jc w:val="both"/>
        <w:rPr/>
      </w:pPr>
      <w:r w:rsidDel="00000000" w:rsidR="00000000" w:rsidRPr="00000000">
        <w:rPr>
          <w:rtl w:val="0"/>
        </w:rPr>
        <w:t xml:space="preserve">Annual general meetings provide directors and officers with the forum to report to the shareholders on their stewardship over the previous 12 months.</w:t>
      </w:r>
    </w:p>
    <w:p w:rsidR="00000000" w:rsidDel="00000000" w:rsidP="00000000" w:rsidRDefault="00000000" w:rsidRPr="00000000" w14:paraId="0000001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pPr>
      <w:bookmarkStart w:colFirst="0" w:colLast="0" w:name="_qt6xj5usvezx" w:id="5"/>
      <w:bookmarkEnd w:id="5"/>
      <w:r w:rsidDel="00000000" w:rsidR="00000000" w:rsidRPr="00000000">
        <w:rPr>
          <w:rtl w:val="0"/>
        </w:rPr>
        <w:t xml:space="preserve">Timing</w:t>
      </w:r>
    </w:p>
    <w:p w:rsidR="00000000" w:rsidDel="00000000" w:rsidP="00000000" w:rsidRDefault="00000000" w:rsidRPr="00000000" w14:paraId="00000011">
      <w:pPr>
        <w:jc w:val="both"/>
        <w:rPr/>
      </w:pPr>
      <w:r w:rsidDel="00000000" w:rsidR="00000000" w:rsidRPr="00000000">
        <w:rPr>
          <w:rtl w:val="0"/>
        </w:rPr>
        <w:t xml:space="preserve">The directors must call an annual meeting of shareholders not later than 18 months after the corporation comes into existence and subsequently not later than 15 months after holding the last preceding annual meeting (OBCA, s. </w:t>
      </w:r>
      <w:hyperlink r:id="rId6">
        <w:r w:rsidDel="00000000" w:rsidR="00000000" w:rsidRPr="00000000">
          <w:rPr>
            <w:color w:val="1155cc"/>
            <w:u w:val="single"/>
            <w:rtl w:val="0"/>
          </w:rPr>
          <w:t xml:space="preserve">94</w:t>
        </w:r>
      </w:hyperlink>
      <w:r w:rsidDel="00000000" w:rsidR="00000000" w:rsidRPr="00000000">
        <w:rPr>
          <w:rtl w:val="0"/>
        </w:rPr>
        <w:t xml:space="preserve">). While the by-laws of a corporation can provide for more frequent general meetings, this is rarely done.</w:t>
      </w:r>
    </w:p>
    <w:p w:rsidR="00000000" w:rsidDel="00000000" w:rsidP="00000000" w:rsidRDefault="00000000" w:rsidRPr="00000000" w14:paraId="00000012">
      <w:pPr>
        <w:jc w:val="both"/>
        <w:rPr/>
      </w:pPr>
      <w:r w:rsidDel="00000000" w:rsidR="00000000" w:rsidRPr="00000000">
        <w:rPr>
          <w:rtl w:val="0"/>
        </w:rPr>
        <w:t xml:space="preserve">Subject to certain exceptions, in lieu of an actual meeting, a resolution in writing dealing with all matters required to be dealt with at an annual meeting, signed by all the shareholders, or in the case of a non-offering corporation, the holders of at least a majority of the shares, entitled to vote at that meeting, satisfies the requirement for an annual general meeting (OBCA, s. </w:t>
      </w:r>
      <w:hyperlink r:id="rId7">
        <w:r w:rsidDel="00000000" w:rsidR="00000000" w:rsidRPr="00000000">
          <w:rPr>
            <w:color w:val="1155cc"/>
            <w:u w:val="single"/>
            <w:rtl w:val="0"/>
          </w:rPr>
          <w:t xml:space="preserve">104</w:t>
        </w:r>
      </w:hyperlink>
      <w:r w:rsidDel="00000000" w:rsidR="00000000" w:rsidRPr="00000000">
        <w:rPr>
          <w:rtl w:val="0"/>
        </w:rPr>
        <w:t xml:space="preserve">; and see Resolutions below).</w:t>
      </w:r>
    </w:p>
    <w:p w:rsidR="00000000" w:rsidDel="00000000" w:rsidP="00000000" w:rsidRDefault="00000000" w:rsidRPr="00000000" w14:paraId="00000013">
      <w:pPr>
        <w:jc w:val="both"/>
        <w:rPr/>
      </w:pPr>
      <w:r w:rsidDel="00000000" w:rsidR="00000000" w:rsidRPr="00000000">
        <w:rPr>
          <w:rtl w:val="0"/>
        </w:rPr>
        <w:t xml:space="preserve">Failure, without reasonable cause, to call an appropriate meeting of shareholders is an offence pursuant to s. </w:t>
      </w:r>
      <w:hyperlink r:id="rId8">
        <w:r w:rsidDel="00000000" w:rsidR="00000000" w:rsidRPr="00000000">
          <w:rPr>
            <w:color w:val="1155cc"/>
            <w:u w:val="single"/>
            <w:rtl w:val="0"/>
          </w:rPr>
          <w:t xml:space="preserve">258</w:t>
        </w:r>
      </w:hyperlink>
      <w:r w:rsidDel="00000000" w:rsidR="00000000" w:rsidRPr="00000000">
        <w:rPr>
          <w:rtl w:val="0"/>
        </w:rPr>
        <w:t xml:space="preserve">(1) of the OBCA, punishable by fine and/or imprisonment.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i w:val="1"/>
          <w:iCs w:val="1"/>
          <w:color w:val="212121"/>
          <w:sz w:val="18"/>
          <w:szCs w:val="18"/>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i w:val="1"/>
          <w:iCs w:val="1"/>
          <w:color w:val="212121"/>
          <w:sz w:val="18"/>
          <w:szCs w:val="18"/>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Business Transacted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business transacted at an annual general meeting typically includes:</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approval of the minutes of the previous meeting;</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receipt of the annual report of the directors including the financial statements, and any auditor's report;</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election and/or re-election of directors;</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appointment and/or re-appointment of the auditor or waiver of the audit requirements;</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confirmation of the acts and proceedings of the directors since the previous meeting; and</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hd w:fill="ffffff" w:val="clea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any other business, such as approving amended by-laws or fundamental changes to the corporation.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specific OBCA requirements for an annual general meeting are as follows: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by ordinary resolution, at the first annual meeting and each succeeding meeting, must appoint an auditor, unless the corporation is not an offering corporation and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consent in writing to an exemption from the audit requirements in accordance with s. </w:t>
      </w:r>
      <w:hyperlink r:id="rId9">
        <w:r w:rsidDel="00000000" w:rsidR="00000000" w:rsidRPr="00000000">
          <w:rPr>
            <w:rFonts w:ascii="Verdana" w:cs="Verdana" w:eastAsia="Verdana" w:hAnsi="Verdana"/>
            <w:color w:val="006ebb"/>
            <w:sz w:val="18"/>
            <w:szCs w:val="18"/>
            <w:u w:val="single"/>
            <w:rtl w:val="0"/>
          </w:rPr>
          <w:t xml:space="preserve">148</w:t>
        </w:r>
      </w:hyperlink>
      <w:r w:rsidDel="00000000" w:rsidR="00000000" w:rsidRPr="00000000">
        <w:rPr>
          <w:rFonts w:ascii="Verdana" w:cs="Verdana" w:eastAsia="Verdana" w:hAnsi="Verdana"/>
          <w:color w:val="212121"/>
          <w:sz w:val="18"/>
          <w:szCs w:val="18"/>
          <w:rtl w:val="0"/>
        </w:rPr>
        <w:t xml:space="preserve"> of the OBCA (OBCA, s. </w:t>
      </w:r>
      <w:hyperlink r:id="rId10">
        <w:r w:rsidDel="00000000" w:rsidR="00000000" w:rsidRPr="00000000">
          <w:rPr>
            <w:rFonts w:ascii="Verdana" w:cs="Verdana" w:eastAsia="Verdana" w:hAnsi="Verdana"/>
            <w:color w:val="006ebb"/>
            <w:sz w:val="18"/>
            <w:szCs w:val="18"/>
            <w:u w:val="single"/>
            <w:rtl w:val="0"/>
          </w:rPr>
          <w:t xml:space="preserve">149</w:t>
        </w:r>
      </w:hyperlink>
      <w:r w:rsidDel="00000000" w:rsidR="00000000" w:rsidRPr="00000000">
        <w:rPr>
          <w:rFonts w:ascii="Verdana" w:cs="Verdana" w:eastAsia="Verdana" w:hAnsi="Verdana"/>
          <w:color w:val="212121"/>
          <w:sz w:val="18"/>
          <w:szCs w:val="18"/>
          <w:rtl w:val="0"/>
        </w:rPr>
        <w:t xml:space="preserve">(1), (2) and see precedents: </w:t>
      </w:r>
      <w:hyperlink r:id="rId11">
        <w:r w:rsidDel="00000000" w:rsidR="00000000" w:rsidRPr="00000000">
          <w:rPr>
            <w:rFonts w:ascii="Verdana" w:cs="Verdana" w:eastAsia="Verdana" w:hAnsi="Verdana"/>
            <w:color w:val="006ebb"/>
            <w:sz w:val="18"/>
            <w:szCs w:val="18"/>
            <w:u w:val="single"/>
            <w:rtl w:val="0"/>
          </w:rPr>
          <w:t xml:space="preserve">Notice of Appointment of Auditor (OBCA)</w:t>
        </w:r>
      </w:hyperlink>
      <w:r w:rsidDel="00000000" w:rsidR="00000000" w:rsidRPr="00000000">
        <w:rPr>
          <w:rFonts w:ascii="Verdana" w:cs="Verdana" w:eastAsia="Verdana" w:hAnsi="Verdana"/>
          <w:color w:val="212121"/>
          <w:sz w:val="18"/>
          <w:szCs w:val="18"/>
          <w:rtl w:val="0"/>
        </w:rPr>
        <w:t xml:space="preserve">, </w:t>
      </w:r>
      <w:hyperlink r:id="rId12">
        <w:r w:rsidDel="00000000" w:rsidR="00000000" w:rsidRPr="00000000">
          <w:rPr>
            <w:rFonts w:ascii="Verdana" w:cs="Verdana" w:eastAsia="Verdana" w:hAnsi="Verdana"/>
            <w:color w:val="006ebb"/>
            <w:sz w:val="18"/>
            <w:szCs w:val="18"/>
            <w:u w:val="single"/>
            <w:rtl w:val="0"/>
          </w:rPr>
          <w:t xml:space="preserve">Letter to Auditor (Notice of Appointment) (OBCA)</w:t>
        </w:r>
      </w:hyperlink>
      <w:r w:rsidDel="00000000" w:rsidR="00000000" w:rsidRPr="00000000">
        <w:rPr>
          <w:rFonts w:ascii="Verdana" w:cs="Verdana" w:eastAsia="Verdana" w:hAnsi="Verdana"/>
          <w:color w:val="212121"/>
          <w:sz w:val="18"/>
          <w:szCs w:val="18"/>
          <w:rtl w:val="0"/>
        </w:rPr>
        <w:t xml:space="preserve">, </w:t>
      </w:r>
      <w:hyperlink r:id="rId13">
        <w:r w:rsidDel="00000000" w:rsidR="00000000" w:rsidRPr="00000000">
          <w:rPr>
            <w:rFonts w:ascii="Verdana" w:cs="Verdana" w:eastAsia="Verdana" w:hAnsi="Verdana"/>
            <w:b w:val="1"/>
            <w:bCs w:val="1"/>
            <w:color w:val="006ebb"/>
            <w:sz w:val="18"/>
            <w:szCs w:val="18"/>
            <w:u w:val="single"/>
            <w:shd w:fill="fff099" w:val="clear"/>
            <w:rtl w:val="0"/>
          </w:rPr>
          <w:t xml:space="preserve">Shareholder</w:t>
        </w:r>
      </w:hyperlink>
      <w:hyperlink r:id="rId14">
        <w:r w:rsidDel="00000000" w:rsidR="00000000" w:rsidRPr="00000000">
          <w:rPr>
            <w:rFonts w:ascii="Verdana" w:cs="Verdana" w:eastAsia="Verdana" w:hAnsi="Verdana"/>
            <w:color w:val="006ebb"/>
            <w:sz w:val="18"/>
            <w:szCs w:val="18"/>
            <w:u w:val="single"/>
            <w:rtl w:val="0"/>
          </w:rPr>
          <w:t xml:space="preserve"> Consent to Exemption from Audit Requirements (OBCA)</w:t>
        </w:r>
      </w:hyperlink>
      <w:r w:rsidDel="00000000" w:rsidR="00000000" w:rsidRPr="00000000">
        <w:rPr>
          <w:rFonts w:ascii="Verdana" w:cs="Verdana" w:eastAsia="Verdana" w:hAnsi="Verdana"/>
          <w:color w:val="212121"/>
          <w:sz w:val="18"/>
          <w:szCs w:val="18"/>
          <w:rtl w:val="0"/>
        </w:rPr>
        <w:t xml:space="preserve"> and </w:t>
      </w:r>
      <w:hyperlink r:id="rId15">
        <w:r w:rsidDel="00000000" w:rsidR="00000000" w:rsidRPr="00000000">
          <w:rPr>
            <w:rFonts w:ascii="Verdana" w:cs="Verdana" w:eastAsia="Verdana" w:hAnsi="Verdana"/>
            <w:b w:val="1"/>
            <w:bCs w:val="1"/>
            <w:color w:val="006ebb"/>
            <w:sz w:val="18"/>
            <w:szCs w:val="18"/>
            <w:u w:val="single"/>
            <w:shd w:fill="fff099" w:val="clear"/>
            <w:rtl w:val="0"/>
          </w:rPr>
          <w:t xml:space="preserve">Shareholder</w:t>
        </w:r>
      </w:hyperlink>
      <w:hyperlink r:id="rId16">
        <w:r w:rsidDel="00000000" w:rsidR="00000000" w:rsidRPr="00000000">
          <w:rPr>
            <w:rFonts w:ascii="Verdana" w:cs="Verdana" w:eastAsia="Verdana" w:hAnsi="Verdana"/>
            <w:color w:val="006ebb"/>
            <w:sz w:val="18"/>
            <w:szCs w:val="18"/>
            <w:u w:val="single"/>
            <w:rtl w:val="0"/>
          </w:rPr>
          <w:t xml:space="preserve"> Resolution (Dispensing with Appointment of Auditor (OBCA)</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 list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must be available for examination (OBCA, s. </w:t>
      </w:r>
      <w:hyperlink r:id="rId17">
        <w:r w:rsidDel="00000000" w:rsidR="00000000" w:rsidRPr="00000000">
          <w:rPr>
            <w:rFonts w:ascii="Verdana" w:cs="Verdana" w:eastAsia="Verdana" w:hAnsi="Verdana"/>
            <w:color w:val="006ebb"/>
            <w:sz w:val="18"/>
            <w:szCs w:val="18"/>
            <w:u w:val="single"/>
            <w:rtl w:val="0"/>
          </w:rPr>
          <w:t xml:space="preserve">100</w:t>
        </w:r>
      </w:hyperlink>
      <w:r w:rsidDel="00000000" w:rsidR="00000000" w:rsidRPr="00000000">
        <w:rPr>
          <w:rFonts w:ascii="Verdana" w:cs="Verdana" w:eastAsia="Verdana" w:hAnsi="Verdana"/>
          <w:color w:val="212121"/>
          <w:sz w:val="18"/>
          <w:szCs w:val="18"/>
          <w:rtl w:val="0"/>
        </w:rPr>
        <w:t xml:space="preserve">(4));</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directors must place the annual financial statements, the report of the auditor, if any, and any further information respecting the financial position of the corporation and the results of its operations required by the articles, the by-laws or any unanimous </w:t>
      </w:r>
      <w:r w:rsidDel="00000000" w:rsidR="00000000" w:rsidRPr="00000000">
        <w:rPr>
          <w:rFonts w:ascii="Verdana" w:cs="Verdana" w:eastAsia="Verdana" w:hAnsi="Verdana"/>
          <w:b w:val="1"/>
          <w:bCs w:val="1"/>
          <w:color w:val="212121"/>
          <w:sz w:val="18"/>
          <w:szCs w:val="18"/>
          <w:shd w:fill="fff099" w:val="clear"/>
          <w:rtl w:val="0"/>
        </w:rPr>
        <w:t xml:space="preserve">shareholder agreement</w:t>
      </w:r>
      <w:r w:rsidDel="00000000" w:rsidR="00000000" w:rsidRPr="00000000">
        <w:rPr>
          <w:rFonts w:ascii="Verdana" w:cs="Verdana" w:eastAsia="Verdana" w:hAnsi="Verdana"/>
          <w:color w:val="212121"/>
          <w:sz w:val="18"/>
          <w:szCs w:val="18"/>
          <w:rtl w:val="0"/>
        </w:rPr>
        <w:t xml:space="preserve">, before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each annual meeting (OBCA, s. </w:t>
      </w:r>
      <w:hyperlink r:id="rId18">
        <w:r w:rsidDel="00000000" w:rsidR="00000000" w:rsidRPr="00000000">
          <w:rPr>
            <w:rFonts w:ascii="Verdana" w:cs="Verdana" w:eastAsia="Verdana" w:hAnsi="Verdana"/>
            <w:color w:val="006ebb"/>
            <w:sz w:val="18"/>
            <w:szCs w:val="18"/>
            <w:u w:val="single"/>
            <w:rtl w:val="0"/>
          </w:rPr>
          <w:t xml:space="preserve">154</w:t>
        </w:r>
      </w:hyperlink>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report of the auditor to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must be open to inspection at the annual meeting by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(OBCA, s. </w:t>
      </w:r>
      <w:hyperlink r:id="rId19">
        <w:r w:rsidDel="00000000" w:rsidR="00000000" w:rsidRPr="00000000">
          <w:rPr>
            <w:rFonts w:ascii="Verdana" w:cs="Verdana" w:eastAsia="Verdana" w:hAnsi="Verdana"/>
            <w:color w:val="006ebb"/>
            <w:sz w:val="18"/>
            <w:szCs w:val="18"/>
            <w:u w:val="single"/>
            <w:rtl w:val="0"/>
          </w:rPr>
          <w:t xml:space="preserve">154</w:t>
        </w:r>
      </w:hyperlink>
      <w:r w:rsidDel="00000000" w:rsidR="00000000" w:rsidRPr="00000000">
        <w:rPr>
          <w:rFonts w:ascii="Verdana" w:cs="Verdana" w:eastAsia="Verdana" w:hAnsi="Verdana"/>
          <w:color w:val="212121"/>
          <w:sz w:val="18"/>
          <w:szCs w:val="18"/>
          <w:rtl w:val="0"/>
        </w:rPr>
        <w:t xml:space="preserve">(2));</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by ordinary resolution, must elect directors at the first meeting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and at each succeeding annual meeting for a term expiring not later than the close of the third annual meeting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following the election (OBCA, s. </w:t>
      </w:r>
      <w:hyperlink r:id="rId20">
        <w:r w:rsidDel="00000000" w:rsidR="00000000" w:rsidRPr="00000000">
          <w:rPr>
            <w:rFonts w:ascii="Verdana" w:cs="Verdana" w:eastAsia="Verdana" w:hAnsi="Verdana"/>
            <w:color w:val="006ebb"/>
            <w:sz w:val="18"/>
            <w:szCs w:val="18"/>
            <w:u w:val="single"/>
            <w:rtl w:val="0"/>
          </w:rPr>
          <w:t xml:space="preserve">119</w:t>
        </w:r>
      </w:hyperlink>
      <w:r w:rsidDel="00000000" w:rsidR="00000000" w:rsidRPr="00000000">
        <w:rPr>
          <w:rFonts w:ascii="Verdana" w:cs="Verdana" w:eastAsia="Verdana" w:hAnsi="Verdana"/>
          <w:color w:val="212121"/>
          <w:sz w:val="18"/>
          <w:szCs w:val="18"/>
          <w:rtl w:val="0"/>
        </w:rPr>
        <w:t xml:space="preserve">(4)); and</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directors must submit any by-law, any amendment to a by-law or any repeal of a by-law to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may, by ordinary resolution, at the next meeting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confirm, reject or amend the proposed changes to the by-law (OBCA, s. </w:t>
      </w:r>
      <w:hyperlink r:id="rId21">
        <w:r w:rsidDel="00000000" w:rsidR="00000000" w:rsidRPr="00000000">
          <w:rPr>
            <w:rFonts w:ascii="Verdana" w:cs="Verdana" w:eastAsia="Verdana" w:hAnsi="Verdana"/>
            <w:color w:val="006ebb"/>
            <w:sz w:val="18"/>
            <w:szCs w:val="18"/>
            <w:u w:val="single"/>
            <w:rtl w:val="0"/>
          </w:rPr>
          <w:t xml:space="preserve">116</w:t>
        </w:r>
      </w:hyperlink>
      <w:r w:rsidDel="00000000" w:rsidR="00000000" w:rsidRPr="00000000">
        <w:rPr>
          <w:rFonts w:ascii="Verdana" w:cs="Verdana" w:eastAsia="Verdana" w:hAnsi="Verdana"/>
          <w:color w:val="212121"/>
          <w:sz w:val="18"/>
          <w:szCs w:val="18"/>
          <w:rtl w:val="0"/>
        </w:rPr>
        <w:t xml:space="preserve">(2)).</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Meeting Materials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corporation must send to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not less than 21 days in the case of an offering corporation, and not less than 10 days in the case of a corporation that is not an offering corporation, before each annual meeting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or before signing any resolution in lieu of a meeting:</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a copy of the annual financial statements;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report of the auditor, if any; and</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fffff" w:val="clea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any further information respecting the financial position of the corporation which it is otherwise required to place before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the annual meeting (OBCA, s. </w:t>
      </w:r>
      <w:hyperlink r:id="rId22">
        <w:r w:rsidDel="00000000" w:rsidR="00000000" w:rsidRPr="00000000">
          <w:rPr>
            <w:rFonts w:ascii="Verdana" w:cs="Verdana" w:eastAsia="Verdana" w:hAnsi="Verdana"/>
            <w:color w:val="006ebb"/>
            <w:sz w:val="18"/>
            <w:szCs w:val="18"/>
            <w:u w:val="single"/>
            <w:rtl w:val="0"/>
          </w:rPr>
          <w:t xml:space="preserve">154</w:t>
        </w:r>
      </w:hyperlink>
      <w:r w:rsidDel="00000000" w:rsidR="00000000" w:rsidRPr="00000000">
        <w:rPr>
          <w:rFonts w:ascii="Verdana" w:cs="Verdana" w:eastAsia="Verdana" w:hAnsi="Verdana"/>
          <w:color w:val="212121"/>
          <w:sz w:val="18"/>
          <w:szCs w:val="18"/>
          <w:rtl w:val="0"/>
        </w:rPr>
        <w:t xml:space="preserve">(3), (4)).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corporation is not required to send a copy of these documents to any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informed the corporation in writing that they do not wish to receive a copy of the documents (see precedent: </w:t>
      </w:r>
      <w:hyperlink r:id="rId23">
        <w:r w:rsidDel="00000000" w:rsidR="00000000" w:rsidRPr="00000000">
          <w:rPr>
            <w:rFonts w:ascii="Verdana" w:cs="Verdana" w:eastAsia="Verdana" w:hAnsi="Verdana"/>
            <w:color w:val="006ebb"/>
            <w:sz w:val="18"/>
            <w:szCs w:val="18"/>
            <w:u w:val="single"/>
            <w:rtl w:val="0"/>
          </w:rPr>
          <w:t xml:space="preserve">Waiver of Receipt of Financial Statements (OBCA)</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tqvhk5ezm76t" w:id="6"/>
      <w:bookmarkEnd w:id="6"/>
      <w:r w:rsidDel="00000000" w:rsidR="00000000" w:rsidRPr="00000000">
        <w:rPr>
          <w:rtl w:val="0"/>
        </w:rPr>
        <w:t xml:space="preserve">Shareholders Annual Meeting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Finally, the directors of a corporation must place the following before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every annual general meeting:</w:t>
      </w:r>
    </w:p>
    <w:p w:rsidR="00000000" w:rsidDel="00000000" w:rsidP="00000000" w:rsidRDefault="00000000" w:rsidRPr="00000000" w14:paraId="0000003C">
      <w:pPr>
        <w:numPr>
          <w:ilvl w:val="0"/>
          <w:numId w:val="6"/>
        </w:numPr>
        <w:spacing w:after="0" w:afterAutospacing="0"/>
        <w:ind w:left="720" w:hanging="360"/>
        <w:rPr>
          <w:u w:val="none"/>
        </w:rPr>
      </w:pPr>
      <w:r w:rsidDel="00000000" w:rsidR="00000000" w:rsidRPr="00000000">
        <w:rPr>
          <w:rtl w:val="0"/>
        </w:rPr>
        <w:t xml:space="preserve">in the case of a company that is not an offering corporation, the financial statements;</w:t>
      </w:r>
    </w:p>
    <w:p w:rsidR="00000000" w:rsidDel="00000000" w:rsidP="00000000" w:rsidRDefault="00000000" w:rsidRPr="00000000" w14:paraId="0000003D">
      <w:pPr>
        <w:numPr>
          <w:ilvl w:val="0"/>
          <w:numId w:val="6"/>
        </w:numPr>
        <w:spacing w:after="0" w:afterAutospacing="0" w:before="0" w:beforeAutospacing="0"/>
        <w:ind w:left="720" w:hanging="360"/>
        <w:rPr>
          <w:u w:val="none"/>
        </w:rPr>
      </w:pPr>
      <w:r w:rsidDel="00000000" w:rsidR="00000000" w:rsidRPr="00000000">
        <w:rPr>
          <w:rtl w:val="0"/>
        </w:rPr>
        <w:t xml:space="preserve">in the case of an offering corporation, the comparative financial statements;</w:t>
      </w:r>
    </w:p>
    <w:p w:rsidR="00000000" w:rsidDel="00000000" w:rsidP="00000000" w:rsidRDefault="00000000" w:rsidRPr="00000000" w14:paraId="0000003E">
      <w:pPr>
        <w:numPr>
          <w:ilvl w:val="0"/>
          <w:numId w:val="6"/>
        </w:numPr>
        <w:spacing w:after="0" w:afterAutospacing="0" w:before="0" w:beforeAutospacing="0"/>
        <w:ind w:left="720" w:hanging="360"/>
        <w:rPr>
          <w:u w:val="none"/>
        </w:rPr>
      </w:pPr>
      <w:r w:rsidDel="00000000" w:rsidR="00000000" w:rsidRPr="00000000">
        <w:rPr>
          <w:rtl w:val="0"/>
        </w:rPr>
        <w:t xml:space="preserve">a report of the auditor, if any; and</w:t>
      </w:r>
    </w:p>
    <w:p w:rsidR="00000000" w:rsidDel="00000000" w:rsidP="00000000" w:rsidRDefault="00000000" w:rsidRPr="00000000" w14:paraId="0000003F">
      <w:pPr>
        <w:numPr>
          <w:ilvl w:val="0"/>
          <w:numId w:val="6"/>
        </w:numPr>
        <w:spacing w:before="0" w:beforeAutospacing="0"/>
        <w:ind w:left="720" w:hanging="360"/>
        <w:rPr>
          <w:u w:val="none"/>
        </w:rPr>
      </w:pPr>
      <w:r w:rsidDel="00000000" w:rsidR="00000000" w:rsidRPr="00000000">
        <w:rPr>
          <w:rtl w:val="0"/>
        </w:rPr>
        <w:t xml:space="preserve">any further information respecting the financial position of the corporation and the results of its operations required by the articles, the by-laws or any unanimous shareholder agreement.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2"/>
        <w:rPr/>
      </w:pPr>
      <w:bookmarkStart w:colFirst="0" w:colLast="0" w:name="_45hh2eki4q0f" w:id="7"/>
      <w:bookmarkEnd w:id="7"/>
      <w:r w:rsidDel="00000000" w:rsidR="00000000" w:rsidRPr="00000000">
        <w:rPr>
          <w:rtl w:val="0"/>
        </w:rPr>
        <w:t xml:space="preserve">Shareholder approval required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(a)  Any issuance of any Shares or other securities of the Corporation to any Person.</w:t>
      </w:r>
    </w:p>
    <w:p w:rsidR="00000000" w:rsidDel="00000000" w:rsidP="00000000" w:rsidRDefault="00000000" w:rsidRPr="00000000" w14:paraId="00000046">
      <w:pPr>
        <w:numPr>
          <w:ilvl w:val="0"/>
          <w:numId w:val="4"/>
        </w:numPr>
        <w:ind w:left="720" w:hanging="360"/>
      </w:pPr>
      <w:r w:rsidDel="00000000" w:rsidR="00000000" w:rsidRPr="00000000">
        <w:rPr>
          <w:rFonts w:ascii="Arial Unicode MS" w:cs="Arial Unicode MS" w:eastAsia="Arial Unicode MS" w:hAnsi="Arial Unicode MS"/>
          <w:rtl w:val="0"/>
        </w:rPr>
        <w:t xml:space="preserve">(b) Any borrowing of funds or incurring of indebtedness, obligation or liability by the Corporation that would involve the expenditure by the Corporation of an amount more than $[●].</w:t>
      </w:r>
    </w:p>
    <w:p w:rsidR="00000000" w:rsidDel="00000000" w:rsidP="00000000" w:rsidRDefault="00000000" w:rsidRPr="00000000" w14:paraId="00000047">
      <w:pPr>
        <w:numPr>
          <w:ilvl w:val="0"/>
          <w:numId w:val="4"/>
        </w:numPr>
        <w:ind w:left="720" w:hanging="360"/>
      </w:pPr>
      <w:r w:rsidDel="00000000" w:rsidR="00000000" w:rsidRPr="00000000">
        <w:rPr>
          <w:rFonts w:ascii="Arial Unicode MS" w:cs="Arial Unicode MS" w:eastAsia="Arial Unicode MS" w:hAnsi="Arial Unicode MS"/>
          <w:rtl w:val="0"/>
        </w:rPr>
        <w:t xml:space="preserve">(c) Any sale, lease, exchange or other disposition of any assets of the Corporation having an aggregate value more than $[●] in any fiscal year, other than inventory disposed of in the ordinary course of business.</w:t>
      </w:r>
    </w:p>
    <w:p w:rsidR="00000000" w:rsidDel="00000000" w:rsidP="00000000" w:rsidRDefault="00000000" w:rsidRPr="00000000" w14:paraId="00000048">
      <w:pPr>
        <w:numPr>
          <w:ilvl w:val="0"/>
          <w:numId w:val="4"/>
        </w:numPr>
        <w:ind w:left="720" w:hanging="360"/>
      </w:pPr>
      <w:r w:rsidDel="00000000" w:rsidR="00000000" w:rsidRPr="00000000">
        <w:rPr>
          <w:rFonts w:ascii="Arial Unicode MS" w:cs="Arial Unicode MS" w:eastAsia="Arial Unicode MS" w:hAnsi="Arial Unicode MS"/>
          <w:rtl w:val="0"/>
        </w:rPr>
        <w:t xml:space="preserve">(d) Any capital expenditure by the Corporation which (i) individually exceeds $[●] or (ii) would result in the Corporation incurring capital expenditures of more than $[●] in any fiscal year.</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(e) Any mortgage, charge, grant of security interest in or encumbrance by the Corporation of any of the assets of the Corporation, except for purchase money security interests incurred in the ordinary course of business.</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(f) Any extension of credit or other financial assistance by the Corporation, by means of loan, guarantee or otherwise, to any Shareholder, Director or employee of the Corporation or to any Person or entity related to such Shareholder, Director or employee within the meaning of the Tax Act.</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(g) Any creation of, amendment, alteration or variance to any profit sharing, stock option or purchase, pension, insurance or other employee benefit plan.</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(h) The hiring, termination or amendment to the employment agreement or compensation packages of any employees identified as 'key employees' by the Directors.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22"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21"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24" Type="http://schemas.openxmlformats.org/officeDocument/2006/relationships/header" Target="header1.xml"/><Relationship Id="rId23"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7"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8"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1"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0"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3"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2"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5"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4"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7"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6"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9"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 Id="rId18" Type="http://schemas.openxmlformats.org/officeDocument/2006/relationships/hyperlink" Target="https://advance.lexis.com/document/documentlink/?pdmfid=1518425&amp;crid=fc081ae1-dbe9-426f-8f76-756d56ae5458&amp;pddocfullpath=%2Fshared%2Fdocument%2Fanalytical-materials-lpa-ca%2Furn%3AcontentItem%3A5W0W-D0Y1-F2MB-S2VT-00000-00&amp;pdcontentcomponentid=402959&amp;pddoctitle=Board+Meetings+and+Resolutions+(OBCA)&amp;pdproductcontenttypeid=urn%3Apct%3A322&amp;pdiskwicview=false&amp;ecomp=ghb9k&amp;prid=4088e7c6-475e-48b1-845a-fd7592b8ae8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