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4iulmzfoxzw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75a0ip7mv8p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2gyfrqs22fy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tcm91n1t8k9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i35nhbduigr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e9a56sehbjd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gp6nudjgryw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1yfckedhpjf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  <w:rtl w:val="0"/>
        </w:rPr>
        <w:t xml:space="preserve">Levine Professional Corporation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both"/>
        <w:rPr/>
      </w:pPr>
      <w:bookmarkStart w:colFirst="0" w:colLast="0" w:name="_x1qg1c30zmid" w:id="8"/>
      <w:bookmarkEnd w:id="8"/>
      <w:r w:rsidDel="00000000" w:rsidR="00000000" w:rsidRPr="00000000">
        <w:rPr>
          <w:rtl w:val="0"/>
        </w:rPr>
        <w:t xml:space="preserve">Corporate Law Practice - Director’s Duties &amp; Liabilities - Compliance</w:t>
      </w:r>
      <w:r w:rsidDel="00000000" w:rsidR="00000000" w:rsidRPr="00000000">
        <w:rPr>
          <w:rtl w:val="0"/>
        </w:rPr>
        <w:t xml:space="preserve"> -  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line="288" w:lineRule="auto"/>
        <w:rPr>
          <w:rFonts w:ascii="Verdana" w:cs="Verdana" w:eastAsia="Verdana" w:hAnsi="Verdana"/>
          <w:color w:val="346437"/>
          <w:sz w:val="77"/>
          <w:szCs w:val="77"/>
        </w:rPr>
      </w:pPr>
      <w:bookmarkStart w:colFirst="0" w:colLast="0" w:name="_tjiphdeebymi" w:id="9"/>
      <w:bookmarkEnd w:id="9"/>
      <w:r w:rsidDel="00000000" w:rsidR="00000000" w:rsidRPr="00000000">
        <w:rPr>
          <w:rtl w:val="0"/>
        </w:rPr>
        <w:t xml:space="preserve">The Risk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line="288" w:lineRule="auto"/>
        <w:rPr/>
      </w:pPr>
      <w:bookmarkStart w:colFirst="0" w:colLast="0" w:name="_2rzibgu7zix3" w:id="10"/>
      <w:bookmarkEnd w:id="10"/>
      <w:r w:rsidDel="00000000" w:rsidR="00000000" w:rsidRPr="00000000">
        <w:rPr>
          <w:rtl w:val="0"/>
        </w:rPr>
        <w:t xml:space="preserve">Advisory and Representation</w:t>
      </w:r>
    </w:p>
    <w:p w:rsidR="00000000" w:rsidDel="00000000" w:rsidP="00000000" w:rsidRDefault="00000000" w:rsidRPr="00000000" w14:paraId="00000013">
      <w:pPr>
        <w:pStyle w:val="Heading2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line="288" w:lineRule="auto"/>
        <w:rPr>
          <w:rFonts w:ascii="Verdana" w:cs="Verdana" w:eastAsia="Verdana" w:hAnsi="Verdana"/>
          <w:sz w:val="24"/>
          <w:szCs w:val="24"/>
        </w:rPr>
      </w:pPr>
      <w:bookmarkStart w:colFirst="0" w:colLast="0" w:name="_ino8r2274wye" w:id="11"/>
      <w:bookmarkEnd w:id="11"/>
      <w:r w:rsidDel="00000000" w:rsidR="00000000" w:rsidRPr="00000000">
        <w:rPr>
          <w:rtl w:val="0"/>
        </w:rPr>
        <w:t xml:space="preserve">Risk Mitigation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line="288" w:lineRule="auto"/>
        <w:rPr/>
      </w:pPr>
      <w:bookmarkStart w:colFirst="0" w:colLast="0" w:name="_4b8ghrkw1a7l" w:id="12"/>
      <w:bookmarkEnd w:id="12"/>
      <w:r w:rsidDel="00000000" w:rsidR="00000000" w:rsidRPr="00000000">
        <w:rPr>
          <w:rtl w:val="0"/>
        </w:rPr>
        <w:t xml:space="preserve">Advisory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Also have experience supervision and design of policy matters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AML Policy creation and review,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AML Program design, redesign and process engineering,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ML &amp; TF Risk Assessments,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AML Compliance Effectiveness Reviews,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Self-Assessment Testing and Reporting,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also offer customized training packages that incorporate your practices including specialized training for: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Board of Directors,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Management,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Frontline Staff,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Back-Office Staff (not customer facing),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Staff, and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Auditors and Audit Staff.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line="288" w:lineRule="auto"/>
        <w:rPr/>
      </w:pPr>
      <w:bookmarkStart w:colFirst="0" w:colLast="0" w:name="_xc59h2k1wusn" w:id="13"/>
      <w:bookmarkEnd w:id="13"/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Process document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Process document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Risk mitigation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identification and verification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keeping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before="200" w:line="312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146050</wp:posOffset>
          </wp:positionV>
          <wp:extent cx="1820862" cy="182086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480" w:line="413.33327999999995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both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320" w:line="240" w:lineRule="auto"/>
      <w:jc w:val="both"/>
    </w:pPr>
    <w:rPr>
      <w:rFonts w:ascii="Proxima Nova" w:cs="Proxima Nova" w:eastAsia="Proxima Nova" w:hAnsi="Proxima Nova"/>
      <w:color w:val="353744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