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before="0" w:line="240" w:lineRule="auto"/>
        <w:rPr>
          <w:rFonts w:ascii="Times New Roman" w:cs="Times New Roman" w:eastAsia="Times New Roman" w:hAnsi="Times New Roman"/>
          <w:b w:val="1"/>
          <w:bCs w:val="1"/>
          <w:color w:val="08122b"/>
          <w:u w:val="none"/>
        </w:rPr>
      </w:pPr>
      <w:bookmarkStart w:colFirst="0" w:colLast="0" w:name="_1yfckedhpjf4" w:id="0"/>
      <w:bookmarkEnd w:id="0"/>
      <w:r w:rsidDel="00000000" w:rsidR="00000000" w:rsidRPr="00000000">
        <w:rPr>
          <w:rFonts w:ascii="Times New Roman" w:cs="Times New Roman" w:eastAsia="Times New Roman" w:hAnsi="Times New Roman"/>
          <w:b w:val="1"/>
          <w:bCs w:val="1"/>
          <w:color w:val="08122b"/>
          <w:u w:val="none"/>
          <w:rtl w:val="0"/>
        </w:rPr>
        <w:t xml:space="preserve">Matthew AJ Levine </w:t>
      </w:r>
    </w:p>
    <w:p w:rsidR="00000000" w:rsidDel="00000000" w:rsidP="00000000" w:rsidRDefault="00000000" w:rsidRPr="00000000" w14:paraId="00000002">
      <w:pPr>
        <w:pStyle w:val="Heading4"/>
        <w:spacing w:before="0" w:line="240" w:lineRule="auto"/>
        <w:rPr>
          <w:rFonts w:ascii="Times New Roman" w:cs="Times New Roman" w:eastAsia="Times New Roman" w:hAnsi="Times New Roman"/>
          <w:b w:val="1"/>
          <w:bCs w:val="1"/>
          <w:color w:val="08122b"/>
          <w:u w:val="none"/>
        </w:rPr>
      </w:pPr>
      <w:bookmarkStart w:colFirst="0" w:colLast="0" w:name="_paiv2oq3e778" w:id="1"/>
      <w:bookmarkEnd w:id="1"/>
      <w:r w:rsidDel="00000000" w:rsidR="00000000" w:rsidRPr="00000000">
        <w:rPr>
          <w:rFonts w:ascii="Times New Roman" w:cs="Times New Roman" w:eastAsia="Times New Roman" w:hAnsi="Times New Roman"/>
          <w:b w:val="1"/>
          <w:bCs w:val="1"/>
          <w:color w:val="08122b"/>
          <w:u w:val="none"/>
          <w:rtl w:val="0"/>
        </w:rPr>
        <w:t xml:space="preserve">Professional Corporation</w:t>
      </w:r>
    </w:p>
    <w:p w:rsidR="00000000" w:rsidDel="00000000" w:rsidP="00000000" w:rsidRDefault="00000000" w:rsidRPr="00000000" w14:paraId="00000003">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4">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5">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6">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office@levinelegal.ca</w:t>
      </w:r>
    </w:p>
    <w:p w:rsidR="00000000" w:rsidDel="00000000" w:rsidP="00000000" w:rsidRDefault="00000000" w:rsidRPr="00000000" w14:paraId="00000007">
      <w:pPr>
        <w:spacing w:before="0" w:line="240" w:lineRule="auto"/>
        <w:jc w:val="right"/>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8">
      <w:pPr>
        <w:spacing w:before="0" w:line="240" w:lineRule="auto"/>
        <w:rPr/>
      </w:pPr>
      <w:r w:rsidDel="00000000" w:rsidR="00000000" w:rsidRPr="00000000">
        <w:rPr>
          <w:rtl w:val="0"/>
        </w:rPr>
      </w:r>
    </w:p>
    <w:p w:rsidR="00000000" w:rsidDel="00000000" w:rsidP="00000000" w:rsidRDefault="00000000" w:rsidRPr="00000000" w14:paraId="00000009">
      <w:pPr>
        <w:pStyle w:val="Title"/>
        <w:jc w:val="both"/>
        <w:rPr/>
      </w:pPr>
      <w:bookmarkStart w:colFirst="0" w:colLast="0" w:name="_ajkbc8tn9asw" w:id="2"/>
      <w:bookmarkEnd w:id="2"/>
      <w:r w:rsidDel="00000000" w:rsidR="00000000" w:rsidRPr="00000000">
        <w:rPr>
          <w:rtl w:val="0"/>
        </w:rPr>
        <w:t xml:space="preserve">Legal Practice -  </w:t>
      </w:r>
    </w:p>
    <w:p w:rsidR="00000000" w:rsidDel="00000000" w:rsidP="00000000" w:rsidRDefault="00000000" w:rsidRPr="00000000" w14:paraId="0000000A">
      <w:pPr>
        <w:pStyle w:val="Subtitle"/>
        <w:rPr>
          <w:rFonts w:ascii="Helvetica Neue" w:cs="Helvetica Neue" w:eastAsia="Helvetica Neue" w:hAnsi="Helvetica Neue"/>
          <w:color w:val="1f1f1f"/>
          <w:sz w:val="30"/>
          <w:szCs w:val="30"/>
          <w:highlight w:val="white"/>
        </w:rPr>
      </w:pPr>
      <w:bookmarkStart w:colFirst="0" w:colLast="0" w:name="_wks0u0q3lmii" w:id="3"/>
      <w:bookmarkEnd w:id="3"/>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January 2024</w:t>
      </w:r>
      <w:r w:rsidDel="00000000" w:rsidR="00000000" w:rsidRPr="00000000">
        <w:rPr>
          <w:rtl w:val="0"/>
        </w:rPr>
      </w:r>
    </w:p>
    <w:p w:rsidR="00000000" w:rsidDel="00000000" w:rsidP="00000000" w:rsidRDefault="00000000" w:rsidRPr="00000000" w14:paraId="0000000B">
      <w:pPr>
        <w:rPr>
          <w:rFonts w:ascii="Helvetica Neue" w:cs="Helvetica Neue" w:eastAsia="Helvetica Neue" w:hAnsi="Helvetica Neue"/>
          <w:color w:val="1f1f1f"/>
          <w:sz w:val="30"/>
          <w:szCs w:val="30"/>
          <w:highlight w:val="white"/>
        </w:rPr>
      </w:pPr>
      <w:r w:rsidDel="00000000" w:rsidR="00000000" w:rsidRPr="00000000">
        <w:rPr>
          <w:rtl w:val="0"/>
        </w:rPr>
      </w:r>
    </w:p>
    <w:p w:rsidR="00000000" w:rsidDel="00000000" w:rsidP="00000000" w:rsidRDefault="00000000" w:rsidRPr="00000000" w14:paraId="0000000C">
      <w:pPr>
        <w:rPr>
          <w:rFonts w:ascii="Helvetica Neue" w:cs="Helvetica Neue" w:eastAsia="Helvetica Neue" w:hAnsi="Helvetica Neue"/>
          <w:color w:val="1f1f1f"/>
          <w:sz w:val="30"/>
          <w:szCs w:val="30"/>
          <w:highlight w:val="white"/>
        </w:rPr>
      </w:pPr>
      <w:r w:rsidDel="00000000" w:rsidR="00000000" w:rsidRPr="00000000">
        <w:rPr>
          <w:rtl w:val="0"/>
        </w:rPr>
      </w:r>
    </w:p>
    <w:p w:rsidR="00000000" w:rsidDel="00000000" w:rsidP="00000000" w:rsidRDefault="00000000" w:rsidRPr="00000000" w14:paraId="0000000D">
      <w:pPr>
        <w:rPr>
          <w:rFonts w:ascii="Helvetica Neue" w:cs="Helvetica Neue" w:eastAsia="Helvetica Neue" w:hAnsi="Helvetica Neue"/>
          <w:color w:val="1f1f1f"/>
          <w:sz w:val="30"/>
          <w:szCs w:val="30"/>
          <w:highlight w:val="white"/>
        </w:rPr>
      </w:pPr>
      <w:r w:rsidDel="00000000" w:rsidR="00000000" w:rsidRPr="00000000">
        <w:rPr>
          <w:rtl w:val="0"/>
        </w:rPr>
      </w:r>
    </w:p>
    <w:p w:rsidR="00000000" w:rsidDel="00000000" w:rsidP="00000000" w:rsidRDefault="00000000" w:rsidRPr="00000000" w14:paraId="0000000E">
      <w:pPr>
        <w:rPr>
          <w:rFonts w:ascii="Helvetica Neue" w:cs="Helvetica Neue" w:eastAsia="Helvetica Neue" w:hAnsi="Helvetica Neue"/>
          <w:color w:val="1f1f1f"/>
          <w:sz w:val="30"/>
          <w:szCs w:val="30"/>
          <w:highlight w:val="white"/>
        </w:rPr>
      </w:pPr>
      <w:r w:rsidDel="00000000" w:rsidR="00000000" w:rsidRPr="00000000">
        <w:rPr>
          <w:rtl w:val="0"/>
        </w:rPr>
      </w:r>
    </w:p>
    <w:p w:rsidR="00000000" w:rsidDel="00000000" w:rsidP="00000000" w:rsidRDefault="00000000" w:rsidRPr="00000000" w14:paraId="0000000F">
      <w:pPr>
        <w:pStyle w:val="Title"/>
        <w:rPr/>
      </w:pPr>
      <w:bookmarkStart w:colFirst="0" w:colLast="0" w:name="_sblatyqo38yg" w:id="4"/>
      <w:bookmarkEnd w:id="4"/>
      <w:r w:rsidDel="00000000" w:rsidR="00000000" w:rsidRPr="00000000">
        <w:rPr>
          <w:rtl w:val="0"/>
        </w:rPr>
        <w:t xml:space="preserve">Undertakings and trust conditions</w:t>
      </w:r>
    </w:p>
    <w:p w:rsidR="00000000" w:rsidDel="00000000" w:rsidP="00000000" w:rsidRDefault="00000000" w:rsidRPr="00000000" w14:paraId="00000010">
      <w:pPr>
        <w:rPr/>
      </w:pPr>
      <w:r w:rsidDel="00000000" w:rsidR="00000000" w:rsidRPr="00000000">
        <w:rPr>
          <w:rtl w:val="0"/>
        </w:rPr>
        <w:t xml:space="preserve">Lawyers and paralegals must fulfill every undertaking and honour every trust condition once accepted. This duty applies to any professional or practice-related promises the licensee may give.</w:t>
      </w:r>
    </w:p>
    <w:p w:rsidR="00000000" w:rsidDel="00000000" w:rsidP="00000000" w:rsidRDefault="00000000" w:rsidRPr="00000000" w14:paraId="00000011">
      <w:pPr>
        <w:rPr>
          <w:rFonts w:ascii="Helvetica Neue" w:cs="Helvetica Neue" w:eastAsia="Helvetica Neue" w:hAnsi="Helvetica Neue"/>
          <w:color w:val="1f1f1f"/>
          <w:sz w:val="30"/>
          <w:szCs w:val="30"/>
          <w:highlight w:val="white"/>
        </w:rPr>
      </w:pPr>
      <w:r w:rsidDel="00000000" w:rsidR="00000000" w:rsidRPr="00000000">
        <w:rPr>
          <w:rtl w:val="0"/>
        </w:rPr>
      </w:r>
    </w:p>
    <w:p w:rsidR="00000000" w:rsidDel="00000000" w:rsidP="00000000" w:rsidRDefault="00000000" w:rsidRPr="00000000" w14:paraId="00000012">
      <w:pPr>
        <w:rPr>
          <w:rFonts w:ascii="Helvetica Neue" w:cs="Helvetica Neue" w:eastAsia="Helvetica Neue" w:hAnsi="Helvetica Neue"/>
          <w:color w:val="1f1f1f"/>
          <w:sz w:val="30"/>
          <w:szCs w:val="30"/>
          <w:highlight w:val="white"/>
        </w:rPr>
      </w:pPr>
      <w:r w:rsidDel="00000000" w:rsidR="00000000" w:rsidRPr="00000000">
        <w:rPr>
          <w:rtl w:val="0"/>
        </w:rPr>
      </w:r>
    </w:p>
    <w:p w:rsidR="00000000" w:rsidDel="00000000" w:rsidP="00000000" w:rsidRDefault="00000000" w:rsidRPr="00000000" w14:paraId="00000013">
      <w:pPr>
        <w:pStyle w:val="Heading1"/>
        <w:rPr/>
      </w:pPr>
      <w:bookmarkStart w:colFirst="0" w:colLast="0" w:name="_i8xess392dhh" w:id="5"/>
      <w:bookmarkEnd w:id="5"/>
      <w:r w:rsidDel="00000000" w:rsidR="00000000" w:rsidRPr="00000000">
        <w:rPr>
          <w:rtl w:val="0"/>
        </w:rPr>
        <w:t xml:space="preserve">Undertaking: Personal promise or responsibility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before="0" w:line="420" w:lineRule="auto"/>
        <w:rPr>
          <w:rFonts w:ascii="Arial" w:cs="Arial" w:eastAsia="Arial" w:hAnsi="Arial"/>
          <w:color w:val="505050"/>
          <w:sz w:val="27"/>
          <w:szCs w:val="27"/>
          <w:highlight w:val="white"/>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Unless clearly qualified, a licensee’s undertaking is a personal promise and responsibility. Using the phrase “on behalf of my client” does not, in itself, release the licensee from the obligation to honour it. If a licensee does not intend to take personal responsibility, this should be clearly stated in the undertaking or promise provided.</w:t>
        <w:br w:type="textWrapping"/>
        <w:br w:type="textWrapping"/>
        <w:t xml:space="preserve">Likewise, a trust condition, once accepted, is an obligation that a licensee must honour personally. As a result, licensees should not accept trust conditions that are unreasonable or cannot be fulfilled personally. When a licensee accepts property subject to trust conditions, they must fully comply with the conditions, even if they later appear unreasonable.</w:t>
        <w:br w:type="textWrapping"/>
        <w:br w:type="textWrapping"/>
        <w:t xml:space="preserve">Before accepting an undertaking or promise, licensees should also confirm that the individual providing it is themselves a licensee.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pBdr>
          <w:top w:color="auto" w:space="0" w:sz="0" w:val="none"/>
          <w:left w:color="auto" w:space="0" w:sz="0" w:val="none"/>
          <w:bottom w:color="auto" w:space="0" w:sz="0" w:val="none"/>
          <w:right w:color="auto" w:space="0" w:sz="0" w:val="none"/>
          <w:between w:color="auto" w:space="0" w:sz="0" w:val="none"/>
        </w:pBdr>
        <w:spacing w:after="80" w:before="360" w:line="335.99999999999994" w:lineRule="auto"/>
        <w:rPr/>
      </w:pPr>
      <w:bookmarkStart w:colFirst="0" w:colLast="0" w:name="_42p4jnaytyay" w:id="6"/>
      <w:bookmarkEnd w:id="6"/>
      <w:r w:rsidDel="00000000" w:rsidR="00000000" w:rsidRPr="00000000">
        <w:rPr>
          <w:rtl w:val="0"/>
        </w:rPr>
        <w:t xml:space="preserve">Clear, unambiguous and time-bound</w:t>
      </w:r>
    </w:p>
    <w:p w:rsidR="00000000" w:rsidDel="00000000" w:rsidP="00000000" w:rsidRDefault="00000000" w:rsidRPr="00000000" w14:paraId="00000018">
      <w:pPr>
        <w:rPr>
          <w:shd w:fill="fff2cc" w:val="clear"/>
        </w:rPr>
      </w:pPr>
      <w:r w:rsidDel="00000000" w:rsidR="00000000" w:rsidRPr="00000000">
        <w:rPr>
          <w:rtl w:val="0"/>
        </w:rPr>
        <w:t xml:space="preserve">Undertakings and trust conditions should be clear, unambiguous, and explicit and should state the time within which the undertakings must be fulfilled or the conditions met. Depending on the circumstances, it may be appropriate to include contingencies (e.g., if the obligations in the undertaking rely on certain events occurring, the licensee should indicate what will happen if these events do not occur).  </w:t>
        <w:br w:type="textWrapping"/>
        <w:br w:type="textWrapping"/>
        <w:t xml:space="preserve">It is important to set time limitations on undertakings and trust conditions. Without a time limit an undertaking or trust condition may bind the licensee indefinitely. Below is an example of an undertaking that is clear, unambiguous, and time-bound.</w:t>
        <w:br w:type="textWrapping"/>
        <w:br w:type="textWrapping"/>
      </w:r>
      <w:r w:rsidDel="00000000" w:rsidR="00000000" w:rsidRPr="00000000">
        <w:rPr>
          <w:shd w:fill="fff2cc" w:val="clear"/>
          <w:rtl w:val="0"/>
        </w:rPr>
        <w:t xml:space="preserve">Example: The sum of [insert amount] will be held in trust and will not be released except pursuant to the terms of a direction to pay or a court order. If no such direction or order is provided within one year of the Effective Date, the funds will be immediately released to Purchaser by [insert method of transfer, if applicable].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pBdr>
          <w:top w:color="auto" w:space="0" w:sz="0" w:val="none"/>
          <w:left w:color="auto" w:space="0" w:sz="0" w:val="none"/>
          <w:bottom w:color="auto" w:space="0" w:sz="0" w:val="none"/>
          <w:right w:color="auto" w:space="0" w:sz="0" w:val="none"/>
          <w:between w:color="auto" w:space="0" w:sz="0" w:val="none"/>
        </w:pBdr>
        <w:spacing w:after="80" w:before="360" w:line="335.99999999999994" w:lineRule="auto"/>
        <w:rPr/>
      </w:pPr>
      <w:bookmarkStart w:colFirst="0" w:colLast="0" w:name="_8o20g2v3yyxh" w:id="7"/>
      <w:bookmarkEnd w:id="7"/>
      <w:r w:rsidDel="00000000" w:rsidR="00000000" w:rsidRPr="00000000">
        <w:rPr>
          <w:rtl w:val="0"/>
        </w:rPr>
        <w:t xml:space="preserve">Provided or confirmed in writing </w:t>
      </w:r>
    </w:p>
    <w:p w:rsidR="00000000" w:rsidDel="00000000" w:rsidP="00000000" w:rsidRDefault="00000000" w:rsidRPr="00000000" w14:paraId="0000001C">
      <w:pPr>
        <w:jc w:val="both"/>
        <w:rPr/>
      </w:pPr>
      <w:r w:rsidDel="00000000" w:rsidR="00000000" w:rsidRPr="00000000">
        <w:rPr>
          <w:rtl w:val="0"/>
        </w:rPr>
        <w:t xml:space="preserve">Paralegals are required to give undertakings in writing or confirm undertakings in writing as soon as practicable after giving them. While there is no similar requirement for lawyers, to help manage and mitigate risk lawyers should also  provide or confirm undertakings in writing.</w:t>
      </w:r>
    </w:p>
    <w:p w:rsidR="00000000" w:rsidDel="00000000" w:rsidP="00000000" w:rsidRDefault="00000000" w:rsidRPr="00000000" w14:paraId="0000001D">
      <w:pPr>
        <w:jc w:val="both"/>
        <w:rPr/>
      </w:pPr>
      <w:r w:rsidDel="00000000" w:rsidR="00000000" w:rsidRPr="00000000">
        <w:rPr>
          <w:rtl w:val="0"/>
        </w:rPr>
        <w:t xml:space="preserve">Trust conditions should also be imposed and accepted in writing and communicated to the other party at the time the property is delivered.</w:t>
        <w:br w:type="textWrapping"/>
        <w:br w:type="textWrapping"/>
        <w:t xml:space="preserve">Any variations to the undertaking or trust condition should also be confirmed in writing.</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pStyle w:val="Heading1"/>
        <w:pBdr>
          <w:top w:color="auto" w:space="0" w:sz="0" w:val="none"/>
          <w:left w:color="auto" w:space="0" w:sz="0" w:val="none"/>
          <w:bottom w:color="auto" w:space="0" w:sz="0" w:val="none"/>
          <w:right w:color="auto" w:space="0" w:sz="0" w:val="none"/>
          <w:between w:color="auto" w:space="0" w:sz="0" w:val="none"/>
        </w:pBdr>
        <w:spacing w:after="80" w:before="360" w:line="335.99999999999994" w:lineRule="auto"/>
        <w:rPr/>
      </w:pPr>
      <w:bookmarkStart w:colFirst="0" w:colLast="0" w:name="_mebotdcsypj2" w:id="8"/>
      <w:bookmarkEnd w:id="8"/>
      <w:r w:rsidDel="00000000" w:rsidR="00000000" w:rsidRPr="00000000">
        <w:rPr>
          <w:rtl w:val="0"/>
        </w:rPr>
        <w:t xml:space="preserve">Enforcement and discipline</w:t>
      </w:r>
    </w:p>
    <w:p w:rsidR="00000000" w:rsidDel="00000000" w:rsidP="00000000" w:rsidRDefault="00000000" w:rsidRPr="00000000" w14:paraId="00000020">
      <w:pPr>
        <w:jc w:val="both"/>
        <w:rPr/>
      </w:pPr>
      <w:r w:rsidDel="00000000" w:rsidR="00000000" w:rsidRPr="00000000">
        <w:rPr>
          <w:rtl w:val="0"/>
        </w:rPr>
        <w:t xml:space="preserve">A court or a tribunal may enforce a licensee's undertaking, trust condition or other practice-related promise. The licensee may be brought before a court or tribunal to explain why the undertaking, trust condition or other practice-related promise was breached.  The court or tribunal may also order the licensee to take steps to satisfy the undertaking, trust condition, or other practice-related promise, or pay damages caused by the breach of such promise.</w:t>
      </w:r>
    </w:p>
    <w:p w:rsidR="00000000" w:rsidDel="00000000" w:rsidP="00000000" w:rsidRDefault="00000000" w:rsidRPr="00000000" w14:paraId="00000021">
      <w:pPr>
        <w:jc w:val="both"/>
        <w:rPr/>
      </w:pPr>
      <w:r w:rsidDel="00000000" w:rsidR="00000000" w:rsidRPr="00000000">
        <w:rPr>
          <w:rtl w:val="0"/>
        </w:rPr>
        <w:t xml:space="preserve">The Law Society may also discipline licensees for breach of an undertaking, trust condition or other practice-related promise, which may result in a finding of professional misconduct.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Title"/>
        <w:rPr/>
      </w:pPr>
      <w:bookmarkStart w:colFirst="0" w:colLast="0" w:name="_uyto2iu9415h" w:id="9"/>
      <w:bookmarkEnd w:id="9"/>
      <w:r w:rsidDel="00000000" w:rsidR="00000000" w:rsidRPr="00000000">
        <w:rPr>
          <w:rtl w:val="0"/>
        </w:rPr>
        <w:t xml:space="preserve">Appendix</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If an undertaking or trust condition is conditional on an event that does not occur, the licensee should attempt to amend the undertaking or trust condition in writing with the consent of the person who imposed the condition, otherwise the undertaking or trust condition may exist indefinitely.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If a lawyer is unable or unwilling to honour a trust condition imposed by someone else, the subject of the trust condition should be immediately returned to the person imposing the trust condition, unless its terms can be forthwith amended in writing on a mutually agreeable basis.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If it is unclear or disputed whether a trust condition has been fulfilled, the licensee should apply to a court of competent jurisdiction for direction.</w:t>
      </w:r>
    </w:p>
    <w:p w:rsidR="00000000" w:rsidDel="00000000" w:rsidP="00000000" w:rsidRDefault="00000000" w:rsidRPr="00000000" w14:paraId="0000002C">
      <w:pPr>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2D">
      <w:pPr>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2E">
      <w:pPr>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2F">
      <w:pPr>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30">
      <w:pPr>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31">
      <w:pPr>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 </w:t>
      </w:r>
    </w:p>
    <w:p w:rsidR="00000000" w:rsidDel="00000000" w:rsidP="00000000" w:rsidRDefault="00000000" w:rsidRPr="00000000" w14:paraId="00000032">
      <w:pPr>
        <w:pStyle w:val="Title"/>
        <w:rPr/>
      </w:pPr>
      <w:bookmarkStart w:colFirst="0" w:colLast="0" w:name="_gz995s8zfmiu" w:id="10"/>
      <w:bookmarkEnd w:id="10"/>
      <w:r w:rsidDel="00000000" w:rsidR="00000000" w:rsidRPr="00000000">
        <w:rPr>
          <w:rtl w:val="0"/>
        </w:rPr>
        <w:t xml:space="preserve">A</w:t>
      </w:r>
      <w:r w:rsidDel="00000000" w:rsidR="00000000" w:rsidRPr="00000000">
        <w:rPr>
          <w:rtl w:val="0"/>
        </w:rPr>
        <w:t xml:space="preserve">ppendix</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before="0" w:line="420" w:lineRule="auto"/>
        <w:jc w:val="right"/>
        <w:rPr>
          <w:rFonts w:ascii="Arial" w:cs="Arial" w:eastAsia="Arial" w:hAnsi="Arial"/>
          <w:color w:val="505050"/>
          <w:sz w:val="27"/>
          <w:szCs w:val="27"/>
        </w:rPr>
      </w:pPr>
      <w:r w:rsidDel="00000000" w:rsidR="00000000" w:rsidRPr="00000000">
        <w:rPr>
          <w:rFonts w:ascii="Arial" w:cs="Arial" w:eastAsia="Arial" w:hAnsi="Arial"/>
          <w:color w:val="505050"/>
          <w:sz w:val="27"/>
          <w:szCs w:val="27"/>
          <w:rtl w:val="0"/>
        </w:rPr>
        <w:t xml:space="preserve">[</w:t>
      </w:r>
      <w:r w:rsidDel="00000000" w:rsidR="00000000" w:rsidRPr="00000000">
        <w:rPr>
          <w:rFonts w:ascii="Arial" w:cs="Arial" w:eastAsia="Arial" w:hAnsi="Arial"/>
          <w:i w:val="1"/>
          <w:iCs w:val="1"/>
          <w:color w:val="505050"/>
          <w:sz w:val="27"/>
          <w:szCs w:val="27"/>
          <w:rtl w:val="0"/>
        </w:rPr>
        <w:t xml:space="preserve">New - October 2014</w:t>
      </w:r>
      <w:r w:rsidDel="00000000" w:rsidR="00000000" w:rsidRPr="00000000">
        <w:rPr>
          <w:rFonts w:ascii="Arial" w:cs="Arial" w:eastAsia="Arial" w:hAnsi="Arial"/>
          <w:color w:val="505050"/>
          <w:sz w:val="27"/>
          <w:szCs w:val="27"/>
          <w:rtl w:val="0"/>
        </w:rPr>
        <w:t xml:space="preserve">]</w:t>
      </w:r>
    </w:p>
    <w:p w:rsidR="00000000" w:rsidDel="00000000" w:rsidP="00000000" w:rsidRDefault="00000000" w:rsidRPr="00000000" w14:paraId="00000037">
      <w:pPr>
        <w:pStyle w:val="Heading3"/>
        <w:pBdr>
          <w:top w:color="auto" w:space="0" w:sz="0" w:val="none"/>
          <w:left w:color="auto" w:space="0" w:sz="0" w:val="none"/>
          <w:bottom w:color="auto" w:space="0" w:sz="0" w:val="none"/>
          <w:right w:color="auto" w:space="0" w:sz="0" w:val="none"/>
          <w:between w:color="auto" w:space="0" w:sz="0" w:val="none"/>
        </w:pBdr>
        <w:spacing w:after="80" w:before="280" w:line="335.99999999999994" w:lineRule="auto"/>
        <w:rPr>
          <w:rFonts w:ascii="Arial" w:cs="Arial" w:eastAsia="Arial" w:hAnsi="Arial"/>
          <w:b w:val="1"/>
          <w:bCs w:val="1"/>
          <w:color w:val="6a0032"/>
        </w:rPr>
      </w:pPr>
      <w:bookmarkStart w:colFirst="0" w:colLast="0" w:name="_8e1eazgqt5w7" w:id="11"/>
      <w:bookmarkEnd w:id="11"/>
      <w:r w:rsidDel="00000000" w:rsidR="00000000" w:rsidRPr="00000000">
        <w:rPr>
          <w:rFonts w:ascii="Arial" w:cs="Arial" w:eastAsia="Arial" w:hAnsi="Arial"/>
          <w:b w:val="1"/>
          <w:bCs w:val="1"/>
          <w:color w:val="6a0032"/>
          <w:rtl w:val="0"/>
        </w:rPr>
        <w:t xml:space="preserve">Undertakings and Trust Conditions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before="0" w:line="420" w:lineRule="auto"/>
        <w:rPr>
          <w:rFonts w:ascii="Arial" w:cs="Arial" w:eastAsia="Arial" w:hAnsi="Arial"/>
          <w:color w:val="505050"/>
          <w:sz w:val="27"/>
          <w:szCs w:val="27"/>
        </w:rPr>
      </w:pPr>
      <w:r w:rsidDel="00000000" w:rsidR="00000000" w:rsidRPr="00000000">
        <w:rPr>
          <w:rFonts w:ascii="Arial" w:cs="Arial" w:eastAsia="Arial" w:hAnsi="Arial"/>
          <w:b w:val="1"/>
          <w:bCs w:val="1"/>
          <w:color w:val="6a0032"/>
          <w:sz w:val="27"/>
          <w:szCs w:val="27"/>
          <w:rtl w:val="0"/>
        </w:rPr>
        <w:t xml:space="preserve">7.2-11</w:t>
      </w:r>
      <w:r w:rsidDel="00000000" w:rsidR="00000000" w:rsidRPr="00000000">
        <w:rPr>
          <w:rFonts w:ascii="Arial" w:cs="Arial" w:eastAsia="Arial" w:hAnsi="Arial"/>
          <w:color w:val="505050"/>
          <w:sz w:val="27"/>
          <w:szCs w:val="27"/>
          <w:rtl w:val="0"/>
        </w:rPr>
        <w:t xml:space="preserve"> A lawyer shall not give an undertaking that cannot be fulfilled and shall fulfill every undertaking given and honour every trust condition once accepted.</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before="0" w:line="420" w:lineRule="auto"/>
        <w:jc w:val="right"/>
        <w:rPr>
          <w:rFonts w:ascii="Arial" w:cs="Arial" w:eastAsia="Arial" w:hAnsi="Arial"/>
          <w:color w:val="505050"/>
          <w:sz w:val="27"/>
          <w:szCs w:val="27"/>
        </w:rPr>
      </w:pPr>
      <w:r w:rsidDel="00000000" w:rsidR="00000000" w:rsidRPr="00000000">
        <w:rPr>
          <w:rFonts w:ascii="Arial" w:cs="Arial" w:eastAsia="Arial" w:hAnsi="Arial"/>
          <w:color w:val="505050"/>
          <w:sz w:val="27"/>
          <w:szCs w:val="27"/>
          <w:rtl w:val="0"/>
        </w:rPr>
        <w:t xml:space="preserve">[</w:t>
      </w:r>
      <w:r w:rsidDel="00000000" w:rsidR="00000000" w:rsidRPr="00000000">
        <w:rPr>
          <w:rFonts w:ascii="Arial" w:cs="Arial" w:eastAsia="Arial" w:hAnsi="Arial"/>
          <w:i w:val="1"/>
          <w:iCs w:val="1"/>
          <w:color w:val="505050"/>
          <w:sz w:val="27"/>
          <w:szCs w:val="27"/>
          <w:rtl w:val="0"/>
        </w:rPr>
        <w:t xml:space="preserve">Amended - October 2014</w:t>
      </w:r>
      <w:r w:rsidDel="00000000" w:rsidR="00000000" w:rsidRPr="00000000">
        <w:rPr>
          <w:rFonts w:ascii="Arial" w:cs="Arial" w:eastAsia="Arial" w:hAnsi="Arial"/>
          <w:color w:val="505050"/>
          <w:sz w:val="27"/>
          <w:szCs w:val="27"/>
          <w:rtl w:val="0"/>
        </w:rPr>
        <w:t xml:space="preserve">]</w:t>
      </w:r>
    </w:p>
    <w:p w:rsidR="00000000" w:rsidDel="00000000" w:rsidP="00000000" w:rsidRDefault="00000000" w:rsidRPr="00000000" w14:paraId="0000003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0" w:line="335.99999999999994" w:lineRule="auto"/>
        <w:rPr>
          <w:rFonts w:ascii="Arial" w:cs="Arial" w:eastAsia="Arial" w:hAnsi="Arial"/>
          <w:color w:val="b21e5e"/>
          <w:sz w:val="27"/>
          <w:szCs w:val="27"/>
          <w:u w:val="none"/>
        </w:rPr>
      </w:pPr>
      <w:bookmarkStart w:colFirst="0" w:colLast="0" w:name="_sajb1o517n1u" w:id="12"/>
      <w:bookmarkEnd w:id="12"/>
      <w:r w:rsidDel="00000000" w:rsidR="00000000" w:rsidRPr="00000000">
        <w:rPr>
          <w:rFonts w:ascii="Arial" w:cs="Arial" w:eastAsia="Arial" w:hAnsi="Arial"/>
          <w:color w:val="b21e5e"/>
          <w:sz w:val="27"/>
          <w:szCs w:val="27"/>
          <w:u w:val="none"/>
          <w:rtl w:val="0"/>
        </w:rPr>
        <w:t xml:space="preserve">Commentary</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before="0" w:line="420" w:lineRule="auto"/>
        <w:rPr>
          <w:rFonts w:ascii="Arial" w:cs="Arial" w:eastAsia="Arial" w:hAnsi="Arial"/>
          <w:color w:val="505050"/>
          <w:sz w:val="27"/>
          <w:szCs w:val="27"/>
        </w:rPr>
      </w:pPr>
      <w:r w:rsidDel="00000000" w:rsidR="00000000" w:rsidRPr="00000000">
        <w:rPr>
          <w:rFonts w:ascii="Arial" w:cs="Arial" w:eastAsia="Arial" w:hAnsi="Arial"/>
          <w:color w:val="505050"/>
          <w:sz w:val="27"/>
          <w:szCs w:val="27"/>
          <w:rtl w:val="0"/>
        </w:rPr>
        <w:t xml:space="preserve">[1] </w:t>
      </w:r>
      <w:r w:rsidDel="00000000" w:rsidR="00000000" w:rsidRPr="00000000">
        <w:rPr>
          <w:rFonts w:ascii="Arial" w:cs="Arial" w:eastAsia="Arial" w:hAnsi="Arial"/>
          <w:color w:val="505050"/>
          <w:sz w:val="27"/>
          <w:szCs w:val="27"/>
          <w:u w:val="single"/>
          <w:rtl w:val="0"/>
        </w:rPr>
        <w:t xml:space="preserve">Undertakings should be written or confirmed in writing and should be absolutely unambiguous in their terms. If a lawyer giving an undertaking does not intend to accept personal responsibility, this should be stated clearly in the undertaking itself. In the absence of such a statement, the person to whom the undertaking is given is entitled to expect that the lawyer giving it will honour it personally. </w:t>
      </w:r>
      <w:r w:rsidDel="00000000" w:rsidR="00000000" w:rsidRPr="00000000">
        <w:rPr>
          <w:rFonts w:ascii="Arial" w:cs="Arial" w:eastAsia="Arial" w:hAnsi="Arial"/>
          <w:color w:val="505050"/>
          <w:sz w:val="27"/>
          <w:szCs w:val="27"/>
          <w:rtl w:val="0"/>
        </w:rPr>
        <w:t xml:space="preserve">The use of such words as "on behalf of my client" or "on behalf of the vendor" does not relieve the lawyer giving the undertaking of personal responsibility.</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before="0" w:line="420" w:lineRule="auto"/>
        <w:rPr>
          <w:rFonts w:ascii="Arial" w:cs="Arial" w:eastAsia="Arial" w:hAnsi="Arial"/>
          <w:color w:val="505050"/>
          <w:sz w:val="27"/>
          <w:szCs w:val="27"/>
        </w:rPr>
      </w:pPr>
      <w:r w:rsidDel="00000000" w:rsidR="00000000" w:rsidRPr="00000000">
        <w:rPr>
          <w:rFonts w:ascii="Arial" w:cs="Arial" w:eastAsia="Arial" w:hAnsi="Arial"/>
          <w:color w:val="505050"/>
          <w:sz w:val="27"/>
          <w:szCs w:val="27"/>
          <w:rtl w:val="0"/>
        </w:rPr>
        <w:t xml:space="preserve">[1.1] In real estate transactions using the system for the electronic registration of title documents ("e-reg" ™), the lawyers acting for the parties (with their consent) will sign and be bound by a Document Registration Agreement that will contain undertakings. When entering into a Document Registration Agreement, a lawyer should have regard to and strictly comply with their obligations under rule 7.2-11.</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before="0" w:line="420" w:lineRule="auto"/>
        <w:rPr>
          <w:rFonts w:ascii="Arial" w:cs="Arial" w:eastAsia="Arial" w:hAnsi="Arial"/>
          <w:color w:val="505050"/>
          <w:sz w:val="27"/>
          <w:szCs w:val="27"/>
        </w:rPr>
      </w:pPr>
      <w:r w:rsidDel="00000000" w:rsidR="00000000" w:rsidRPr="00000000">
        <w:rPr>
          <w:rFonts w:ascii="Arial" w:cs="Arial" w:eastAsia="Arial" w:hAnsi="Arial"/>
          <w:color w:val="505050"/>
          <w:sz w:val="27"/>
          <w:szCs w:val="27"/>
          <w:rtl w:val="0"/>
        </w:rPr>
        <w:t xml:space="preserve">[2] </w:t>
      </w:r>
      <w:r w:rsidDel="00000000" w:rsidR="00000000" w:rsidRPr="00000000">
        <w:rPr>
          <w:rFonts w:ascii="Arial" w:cs="Arial" w:eastAsia="Arial" w:hAnsi="Arial"/>
          <w:color w:val="505050"/>
          <w:sz w:val="27"/>
          <w:szCs w:val="27"/>
          <w:u w:val="single"/>
          <w:rtl w:val="0"/>
        </w:rPr>
        <w:t xml:space="preserve">Trust conditions should be clear, unambiguous and explicit and should state the time within which the conditions must be met. Trust conditions should be imposed in writing and communicated to the other party at the time the property is delivered. Trust conditions should be accepted in writing and, once accepted, constitute an obligation on the accepting lawyer that the lawyer must honour personally.</w:t>
      </w:r>
      <w:r w:rsidDel="00000000" w:rsidR="00000000" w:rsidRPr="00000000">
        <w:rPr>
          <w:rFonts w:ascii="Arial" w:cs="Arial" w:eastAsia="Arial" w:hAnsi="Arial"/>
          <w:color w:val="505050"/>
          <w:sz w:val="27"/>
          <w:szCs w:val="27"/>
          <w:rtl w:val="0"/>
        </w:rPr>
        <w:t xml:space="preserve"> The lawyer who delivers property without any trust condition cannot retroactively impose trust conditions on the use of that property by the other party.</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before="0" w:line="420" w:lineRule="auto"/>
        <w:rPr>
          <w:rFonts w:ascii="Arial" w:cs="Arial" w:eastAsia="Arial" w:hAnsi="Arial"/>
          <w:color w:val="505050"/>
          <w:sz w:val="27"/>
          <w:szCs w:val="27"/>
        </w:rPr>
      </w:pPr>
      <w:r w:rsidDel="00000000" w:rsidR="00000000" w:rsidRPr="00000000">
        <w:rPr>
          <w:rFonts w:ascii="Arial" w:cs="Arial" w:eastAsia="Arial" w:hAnsi="Arial"/>
          <w:color w:val="505050"/>
          <w:sz w:val="27"/>
          <w:szCs w:val="27"/>
          <w:rtl w:val="0"/>
        </w:rPr>
        <w:t xml:space="preserve">[3] The lawyer should not impose or accept trust conditions that are unreasonable, nor accept trust conditions that cannot be fulfilled personally. When a lawyer accepts property subject to trust conditions, the lawyer must fully comply with such conditions, even if the conditions subsequently appear unreasonable. It is improper for a lawyer to ignore or breach a trust condition he or she has accepted on the basis that the condition is not in accordance with the contractual obligations of the clients. It is also improper to unilaterally impose cross conditions respecting one's compliance with the original trust conditions.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before="0" w:line="420" w:lineRule="auto"/>
        <w:rPr>
          <w:rFonts w:ascii="Arial" w:cs="Arial" w:eastAsia="Arial" w:hAnsi="Arial"/>
          <w:color w:val="505050"/>
          <w:sz w:val="27"/>
          <w:szCs w:val="27"/>
        </w:rPr>
      </w:pPr>
      <w:r w:rsidDel="00000000" w:rsidR="00000000" w:rsidRPr="00000000">
        <w:rPr>
          <w:rFonts w:ascii="Arial" w:cs="Arial" w:eastAsia="Arial" w:hAnsi="Arial"/>
          <w:color w:val="505050"/>
          <w:sz w:val="27"/>
          <w:szCs w:val="27"/>
          <w:rtl w:val="0"/>
        </w:rPr>
        <w:t xml:space="preserve">[4] If a lawyer is unable or unwilling to honour a trust condition imposed by someone else, the subject of the trust condition should be immediately returned to the person imposing the trust condition, unless its terms can be forthwith amended in writing on a mutually agreeable basis.</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before="0" w:line="420" w:lineRule="auto"/>
        <w:rPr>
          <w:rFonts w:ascii="Arial" w:cs="Arial" w:eastAsia="Arial" w:hAnsi="Arial"/>
          <w:color w:val="505050"/>
          <w:sz w:val="27"/>
          <w:szCs w:val="27"/>
        </w:rPr>
      </w:pPr>
      <w:r w:rsidDel="00000000" w:rsidR="00000000" w:rsidRPr="00000000">
        <w:rPr>
          <w:rFonts w:ascii="Arial" w:cs="Arial" w:eastAsia="Arial" w:hAnsi="Arial"/>
          <w:color w:val="505050"/>
          <w:sz w:val="27"/>
          <w:szCs w:val="27"/>
          <w:rtl w:val="0"/>
        </w:rPr>
        <w:t xml:space="preserve">[5] Trust conditions can be varied with the consent of the person imposing them. Any variation should be confirmed in writing. Clients or others are not entitled to require a variation of trust conditions without the consent of the legal practitioner who has imposed the conditions and the lawyer who has accepted them.</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before="0" w:line="420" w:lineRule="auto"/>
        <w:rPr>
          <w:rFonts w:ascii="Arial" w:cs="Arial" w:eastAsia="Arial" w:hAnsi="Arial"/>
          <w:color w:val="505050"/>
          <w:sz w:val="27"/>
          <w:szCs w:val="27"/>
        </w:rPr>
      </w:pPr>
      <w:r w:rsidDel="00000000" w:rsidR="00000000" w:rsidRPr="00000000">
        <w:rPr>
          <w:rFonts w:ascii="Arial" w:cs="Arial" w:eastAsia="Arial" w:hAnsi="Arial"/>
          <w:color w:val="505050"/>
          <w:sz w:val="27"/>
          <w:szCs w:val="27"/>
          <w:rtl w:val="0"/>
        </w:rPr>
        <w:t xml:space="preserve">[6] Any trust condition that is accepted is binding upon a lawyer, whether imposed by another legal practitioner or by a lay person. A lawyer may seek to impose trust conditions upon a non- licensee, whether an individual or a corporation or other organization, but great caution should be exercised in so doing since such conditions would be enforceable only through the courts as a matter of contract law and not by reason of the ethical obligations that exist between licensees.</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before="0" w:line="420" w:lineRule="auto"/>
        <w:rPr>
          <w:rFonts w:ascii="Arial" w:cs="Arial" w:eastAsia="Arial" w:hAnsi="Arial"/>
          <w:color w:val="505050"/>
          <w:sz w:val="27"/>
          <w:szCs w:val="27"/>
        </w:rPr>
      </w:pPr>
      <w:r w:rsidDel="00000000" w:rsidR="00000000" w:rsidRPr="00000000">
        <w:rPr>
          <w:rFonts w:ascii="Arial" w:cs="Arial" w:eastAsia="Arial" w:hAnsi="Arial"/>
          <w:color w:val="505050"/>
          <w:sz w:val="27"/>
          <w:szCs w:val="27"/>
          <w:rtl w:val="0"/>
        </w:rPr>
        <w:t xml:space="preserve">[7] A lawyer should treat money or property that, on a reasonable construction, is subject to trust conditions or an undertaking in accordance with this rule.</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before="0" w:line="420" w:lineRule="auto"/>
        <w:jc w:val="right"/>
        <w:rPr>
          <w:rFonts w:ascii="Arial" w:cs="Arial" w:eastAsia="Arial" w:hAnsi="Arial"/>
          <w:color w:val="505050"/>
          <w:sz w:val="27"/>
          <w:szCs w:val="27"/>
        </w:rPr>
      </w:pPr>
      <w:r w:rsidDel="00000000" w:rsidR="00000000" w:rsidRPr="00000000">
        <w:rPr>
          <w:rFonts w:ascii="Arial" w:cs="Arial" w:eastAsia="Arial" w:hAnsi="Arial"/>
          <w:color w:val="505050"/>
          <w:sz w:val="27"/>
          <w:szCs w:val="27"/>
          <w:rtl w:val="0"/>
        </w:rPr>
        <w:t xml:space="preserve">[</w:t>
      </w:r>
      <w:r w:rsidDel="00000000" w:rsidR="00000000" w:rsidRPr="00000000">
        <w:rPr>
          <w:rFonts w:ascii="Arial" w:cs="Arial" w:eastAsia="Arial" w:hAnsi="Arial"/>
          <w:i w:val="1"/>
          <w:iCs w:val="1"/>
          <w:color w:val="505050"/>
          <w:sz w:val="27"/>
          <w:szCs w:val="27"/>
          <w:rtl w:val="0"/>
        </w:rPr>
        <w:t xml:space="preserve">Amended - November 2007, October 2014</w:t>
      </w:r>
      <w:r w:rsidDel="00000000" w:rsidR="00000000" w:rsidRPr="00000000">
        <w:rPr>
          <w:rFonts w:ascii="Arial" w:cs="Arial" w:eastAsia="Arial" w:hAnsi="Arial"/>
          <w:color w:val="505050"/>
          <w:sz w:val="27"/>
          <w:szCs w:val="27"/>
          <w:rtl w:val="0"/>
        </w:rPr>
        <w:t xml:space="preserve">]</w:t>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