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6">
      <w:pPr>
        <w:pStyle w:val="Title"/>
        <w:rPr>
          <w:rFonts w:ascii="Proxima Nova" w:cs="Proxima Nova" w:eastAsia="Proxima Nova" w:hAnsi="Proxima Nova"/>
          <w:b w:val="1"/>
          <w:bCs w:val="1"/>
          <w:color w:val="3c78d8"/>
          <w:sz w:val="28"/>
          <w:szCs w:val="28"/>
        </w:rPr>
      </w:pPr>
      <w:bookmarkStart w:colFirst="0" w:colLast="0" w:name="_sgsbjqqmc712" w:id="0"/>
      <w:bookmarkEnd w:id="0"/>
      <w:r w:rsidDel="00000000" w:rsidR="00000000" w:rsidRPr="00000000">
        <w:rPr>
          <w:rtl w:val="0"/>
        </w:rPr>
        <w:t xml:space="preserve">Sales - [</w:t>
      </w:r>
      <w:r w:rsidDel="00000000" w:rsidR="00000000" w:rsidRPr="00000000">
        <w:rPr>
          <w:rtl w:val="0"/>
        </w:rPr>
        <w:t xml:space="preserve">Corporate] Law - Dissolution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rPr/>
      </w:pPr>
      <w:bookmarkStart w:colFirst="0" w:colLast="0" w:name="_aq90rj27v6dn" w:id="1"/>
      <w:bookmarkEnd w:id="1"/>
      <w:r w:rsidDel="00000000" w:rsidR="00000000" w:rsidRPr="00000000">
        <w:rPr>
          <w:rtl w:val="0"/>
        </w:rPr>
        <w:t xml:space="preserve">Corporate Form - more than a license</w:t>
      </w:r>
    </w:p>
    <w:p w:rsidR="00000000" w:rsidDel="00000000" w:rsidP="00000000" w:rsidRDefault="00000000" w:rsidRPr="00000000" w14:paraId="0000000A">
      <w:pPr>
        <w:pStyle w:val="Heading1"/>
        <w:rPr/>
      </w:pPr>
      <w:bookmarkStart w:colFirst="0" w:colLast="0" w:name="_mkqkwjo0b699" w:id="2"/>
      <w:bookmarkEnd w:id="2"/>
      <w:r w:rsidDel="00000000" w:rsidR="00000000" w:rsidRPr="00000000">
        <w:rPr>
          <w:rtl w:val="0"/>
        </w:rPr>
      </w:r>
    </w:p>
    <w:p w:rsidR="00000000" w:rsidDel="00000000" w:rsidP="00000000" w:rsidRDefault="00000000" w:rsidRPr="00000000" w14:paraId="0000000B">
      <w:pPr>
        <w:pStyle w:val="Heading1"/>
        <w:rPr/>
      </w:pPr>
      <w:bookmarkStart w:colFirst="0" w:colLast="0" w:name="_y2fph8039wy" w:id="3"/>
      <w:bookmarkEnd w:id="3"/>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ultimate guarantor of the corporation is the shareholder[s] because the shareholder is the one “standing behind the corporate shield”</w:t>
      </w:r>
    </w:p>
    <w:p w:rsidR="00000000" w:rsidDel="00000000" w:rsidP="00000000" w:rsidRDefault="00000000" w:rsidRPr="00000000" w14:paraId="0000000E">
      <w:pPr>
        <w:pStyle w:val="Heading1"/>
        <w:rPr/>
      </w:pPr>
      <w:bookmarkStart w:colFirst="0" w:colLast="0" w:name="_ed09lxpbtc3j" w:id="4"/>
      <w:bookmarkEnd w:id="4"/>
      <w:r w:rsidDel="00000000" w:rsidR="00000000" w:rsidRPr="00000000">
        <w:rPr>
          <w:rtl w:val="0"/>
        </w:rPr>
        <w:t xml:space="preserve">Terminating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Act provides for three methods by which a corporation's existence may be terminated when a corporation is neither bankrupt nor insolvent: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 voluntary dissolution;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 voluntary wind-up; and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 court wind-up.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pm34u3hfvl1a" w:id="5"/>
      <w:bookmarkEnd w:id="5"/>
      <w:r w:rsidDel="00000000" w:rsidR="00000000" w:rsidRPr="00000000">
        <w:rPr>
          <w:rtl w:val="0"/>
        </w:rPr>
        <w:t xml:space="preserve">Dissolution vs. Winding Up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main difference between dissolution and winding up is the person or persons who carry out the steps required to terminate a corporation's existence: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 dissolution is handled by the existing management of the corporation; and</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 a winding up is managed by another person appointed solely for that purpose.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d8nttfk7eape" w:id="6"/>
      <w:bookmarkEnd w:id="6"/>
      <w:r w:rsidDel="00000000" w:rsidR="00000000" w:rsidRPr="00000000">
        <w:rPr>
          <w:rtl w:val="0"/>
        </w:rPr>
        <w:t xml:space="preserve">Dissolution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corporation that has property or liabilities or both may be dissolved by special resolution of the shareholders,  if, by the special resolution,  the shareholders authorize the directors to cause the corporation to distribute any property and discharge any liabilities, and the corporation has distributed any property and discharged any liabilities before it sends articles of dissolution.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 receipt of articles of dissolution, the Director shall issue a certificate of dissolution, and the corporation ceases to exist on the date shown in the certificate of dissolution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 then what?</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8">
      <w:pPr>
        <w:numPr>
          <w:ilvl w:val="0"/>
          <w:numId w:val="4"/>
        </w:numPr>
        <w:spacing w:after="0" w:afterAutospacing="0"/>
        <w:ind w:left="720" w:hanging="360"/>
      </w:pPr>
      <w:r w:rsidDel="00000000" w:rsidR="00000000" w:rsidRPr="00000000">
        <w:rPr>
          <w:b w:val="1"/>
          <w:bCs w:val="1"/>
          <w:rtl w:val="0"/>
        </w:rPr>
        <w:t xml:space="preserve">Obligations Prior to Dissolution. </w:t>
      </w:r>
      <w:r w:rsidDel="00000000" w:rsidR="00000000" w:rsidRPr="00000000">
        <w:rPr>
          <w:rtl w:val="0"/>
        </w:rPr>
        <w:t xml:space="preserve">The corporation must pay off or settle its debts, obligations and liabilities prior to dissolution. If any of its creditors cannot be found, the corporation may make a payment to the Public Trustee equal to the amount due to the creditor. If any debts, obligations, or liabilities are not paid off, the unpaid creditors must consent to the dissolution. If the corporation was at any time a registered owner of land in Ontario, it must attest that this is no longer the case. </w:t>
      </w:r>
      <w:r w:rsidDel="00000000" w:rsidR="00000000" w:rsidRPr="00000000">
        <w:rPr>
          <w:u w:val="single"/>
          <w:rtl w:val="0"/>
        </w:rPr>
        <w:t xml:space="preserve">In addition, there must be no proceedings pending in any court against the corporation (OBCA, s. </w:t>
      </w:r>
      <w:hyperlink r:id="rId7">
        <w:r w:rsidDel="00000000" w:rsidR="00000000" w:rsidRPr="00000000">
          <w:rPr>
            <w:color w:val="1155cc"/>
            <w:u w:val="single"/>
            <w:rtl w:val="0"/>
          </w:rPr>
          <w:t xml:space="preserve">238</w:t>
        </w:r>
      </w:hyperlink>
      <w:r w:rsidDel="00000000" w:rsidR="00000000" w:rsidRPr="00000000">
        <w:rPr>
          <w:u w:val="single"/>
          <w:rtl w:val="0"/>
        </w:rPr>
        <w:t xml:space="preserve">).</w:t>
      </w:r>
    </w:p>
    <w:p w:rsidR="00000000" w:rsidDel="00000000" w:rsidP="00000000" w:rsidRDefault="00000000" w:rsidRPr="00000000" w14:paraId="0000002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tl w:val="0"/>
        </w:rPr>
      </w:r>
    </w:p>
    <w:p w:rsidR="00000000" w:rsidDel="00000000" w:rsidP="00000000" w:rsidRDefault="00000000" w:rsidRPr="00000000" w14:paraId="0000002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tl w:val="0"/>
        </w:rPr>
      </w:r>
    </w:p>
    <w:p w:rsidR="00000000" w:rsidDel="00000000" w:rsidP="00000000" w:rsidRDefault="00000000" w:rsidRPr="00000000" w14:paraId="0000002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tl w:val="0"/>
        </w:rPr>
      </w:r>
    </w:p>
    <w:p w:rsidR="00000000" w:rsidDel="00000000" w:rsidP="00000000" w:rsidRDefault="00000000" w:rsidRPr="00000000" w14:paraId="0000002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rPr/>
      </w:pPr>
      <w:r w:rsidDel="00000000" w:rsidR="00000000" w:rsidRPr="00000000">
        <w:rPr>
          <w:rFonts w:ascii="Verdana" w:cs="Verdana" w:eastAsia="Verdana" w:hAnsi="Verdana"/>
          <w:b w:val="1"/>
          <w:bCs w:val="1"/>
          <w:color w:val="212121"/>
          <w:sz w:val="18"/>
          <w:szCs w:val="18"/>
          <w:rtl w:val="0"/>
        </w:rPr>
        <w:t xml:space="preserve">Articles of </w:t>
      </w:r>
      <w:r w:rsidDel="00000000" w:rsidR="00000000" w:rsidRPr="00000000">
        <w:rPr>
          <w:rFonts w:ascii="Verdana" w:cs="Verdana" w:eastAsia="Verdana" w:hAnsi="Verdana"/>
          <w:b w:val="1"/>
          <w:bCs w:val="1"/>
          <w:color w:val="212121"/>
          <w:sz w:val="18"/>
          <w:szCs w:val="18"/>
          <w:rtl w:val="0"/>
        </w:rPr>
        <w:t xml:space="preserve">Dissolution</w:t>
      </w:r>
      <w:r w:rsidDel="00000000" w:rsidR="00000000" w:rsidRPr="00000000">
        <w:rPr>
          <w:rFonts w:ascii="Verdana" w:cs="Verdana" w:eastAsia="Verdana" w:hAnsi="Verdana"/>
          <w:b w:val="1"/>
          <w:bCs w:val="1"/>
          <w:color w:val="212121"/>
          <w:sz w:val="18"/>
          <w:szCs w:val="18"/>
          <w:rtl w:val="0"/>
        </w:rPr>
        <w:t xml:space="preserve">.</w:t>
      </w:r>
      <w:r w:rsidDel="00000000" w:rsidR="00000000" w:rsidRPr="00000000">
        <w:rPr>
          <w:rFonts w:ascii="Verdana" w:cs="Verdana" w:eastAsia="Verdana" w:hAnsi="Verdana"/>
          <w:color w:val="212121"/>
          <w:sz w:val="18"/>
          <w:szCs w:val="18"/>
          <w:rtl w:val="0"/>
        </w:rPr>
        <w:t xml:space="preserve"> In order to bring the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into effect, articles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containing the necessary information must be submitted to the Director. The articles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must also be supported by a consent letter to the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of the corporation from the Ontario Minister of Finance; after filing the articles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a request for consent will be forwarded automatically to the Ministry of Finance (OBCA, s. </w:t>
      </w:r>
      <w:hyperlink r:id="rId8">
        <w:r w:rsidDel="00000000" w:rsidR="00000000" w:rsidRPr="00000000">
          <w:rPr>
            <w:rFonts w:ascii="Verdana" w:cs="Verdana" w:eastAsia="Verdana" w:hAnsi="Verdana"/>
            <w:color w:val="006ebb"/>
            <w:sz w:val="18"/>
            <w:szCs w:val="18"/>
            <w:u w:val="single"/>
            <w:rtl w:val="0"/>
          </w:rPr>
          <w:t xml:space="preserve">238</w:t>
        </w:r>
      </w:hyperlink>
      <w:r w:rsidDel="00000000" w:rsidR="00000000" w:rsidRPr="00000000">
        <w:rPr>
          <w:rFonts w:ascii="Verdana" w:cs="Verdana" w:eastAsia="Verdana" w:hAnsi="Verdana"/>
          <w:color w:val="212121"/>
          <w:sz w:val="18"/>
          <w:szCs w:val="18"/>
          <w:rtl w:val="0"/>
        </w:rPr>
        <w:t xml:space="preserve"> and O. Reg 398/21, ss. </w:t>
      </w:r>
      <w:hyperlink r:id="rId9">
        <w:r w:rsidDel="00000000" w:rsidR="00000000" w:rsidRPr="00000000">
          <w:rPr>
            <w:rFonts w:ascii="Verdana" w:cs="Verdana" w:eastAsia="Verdana" w:hAnsi="Verdana"/>
            <w:color w:val="006ebb"/>
            <w:sz w:val="18"/>
            <w:szCs w:val="18"/>
            <w:u w:val="single"/>
            <w:rtl w:val="0"/>
          </w:rPr>
          <w:t xml:space="preserve">24</w:t>
        </w:r>
      </w:hyperlink>
      <w:r w:rsidDel="00000000" w:rsidR="00000000" w:rsidRPr="00000000">
        <w:rPr>
          <w:rFonts w:ascii="Verdana" w:cs="Verdana" w:eastAsia="Verdana" w:hAnsi="Verdana"/>
          <w:color w:val="212121"/>
          <w:sz w:val="18"/>
          <w:szCs w:val="18"/>
          <w:rtl w:val="0"/>
        </w:rPr>
        <w:t xml:space="preserve"> and </w:t>
      </w:r>
      <w:hyperlink r:id="rId10">
        <w:r w:rsidDel="00000000" w:rsidR="00000000" w:rsidRPr="00000000">
          <w:rPr>
            <w:rFonts w:ascii="Verdana" w:cs="Verdana" w:eastAsia="Verdana" w:hAnsi="Verdana"/>
            <w:color w:val="006ebb"/>
            <w:sz w:val="18"/>
            <w:szCs w:val="18"/>
            <w:u w:val="single"/>
            <w:rtl w:val="0"/>
          </w:rPr>
          <w:t xml:space="preserve">26</w:t>
        </w:r>
      </w:hyperlink>
      <w:r w:rsidDel="00000000" w:rsidR="00000000" w:rsidRPr="00000000">
        <w:rPr>
          <w:rFonts w:ascii="Verdana" w:cs="Verdana" w:eastAsia="Verdana" w:hAnsi="Verdana"/>
          <w:color w:val="212121"/>
          <w:sz w:val="18"/>
          <w:szCs w:val="18"/>
          <w:rtl w:val="0"/>
        </w:rPr>
        <w:t xml:space="preserve">). The introduction of the new Ontario Business Registry on October 19, 2021 is intended to facilitate the ability to file corporate documents electronically. For more details about the Ontario Business Registry, see the practice note: {Legislative Update (2021 10): Ontario Business Registry Launches October 19, 2021}.</w:t>
      </w:r>
    </w:p>
    <w:p w:rsidR="00000000" w:rsidDel="00000000" w:rsidP="00000000" w:rsidRDefault="00000000" w:rsidRPr="00000000" w14:paraId="0000002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rPr/>
      </w:pPr>
      <w:r w:rsidDel="00000000" w:rsidR="00000000" w:rsidRPr="00000000">
        <w:rPr>
          <w:rtl w:val="0"/>
        </w:rPr>
      </w:r>
    </w:p>
    <w:p w:rsidR="00000000" w:rsidDel="00000000" w:rsidP="00000000" w:rsidRDefault="00000000" w:rsidRPr="00000000" w14:paraId="0000002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Tax and Corporate Returns.</w:t>
      </w:r>
      <w:r w:rsidDel="00000000" w:rsidR="00000000" w:rsidRPr="00000000">
        <w:rPr>
          <w:rFonts w:ascii="Verdana" w:cs="Verdana" w:eastAsia="Verdana" w:hAnsi="Verdana"/>
          <w:color w:val="212121"/>
          <w:sz w:val="18"/>
          <w:szCs w:val="18"/>
          <w:rtl w:val="0"/>
        </w:rPr>
        <w:t xml:space="preserve"> The corporation must file all outstanding Ontario corporations' tax returns (for tax years prior to 2009) and all outstanding federal corporate tax returns (with the Canada Revenue Agency for tax years after 2008). The corporation must have filed all notices and returns required under the </w:t>
      </w:r>
      <w:r w:rsidDel="00000000" w:rsidR="00000000" w:rsidRPr="00000000">
        <w:rPr>
          <w:rFonts w:ascii="Verdana" w:cs="Verdana" w:eastAsia="Verdana" w:hAnsi="Verdana"/>
          <w:i w:val="1"/>
          <w:iCs w:val="1"/>
          <w:color w:val="212121"/>
          <w:sz w:val="18"/>
          <w:szCs w:val="18"/>
          <w:rtl w:val="0"/>
        </w:rPr>
        <w:t xml:space="preserve">Corporations Information Act</w:t>
      </w:r>
      <w:r w:rsidDel="00000000" w:rsidR="00000000" w:rsidRPr="00000000">
        <w:rPr>
          <w:rFonts w:ascii="Verdana" w:cs="Verdana" w:eastAsia="Verdana" w:hAnsi="Verdana"/>
          <w:color w:val="212121"/>
          <w:sz w:val="18"/>
          <w:szCs w:val="18"/>
          <w:rtl w:val="0"/>
        </w:rPr>
        <w:t xml:space="preserve">, R.S.O. 1990, c. C.39.</w:t>
      </w:r>
    </w:p>
    <w:p w:rsidR="00000000" w:rsidDel="00000000" w:rsidP="00000000" w:rsidRDefault="00000000" w:rsidRPr="00000000" w14:paraId="0000002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tl w:val="0"/>
        </w:rPr>
      </w:r>
    </w:p>
    <w:p w:rsidR="00000000" w:rsidDel="00000000" w:rsidP="00000000" w:rsidRDefault="00000000" w:rsidRPr="00000000" w14:paraId="0000003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80" w:before="0" w:beforeAutospacing="0" w:line="408" w:lineRule="auto"/>
        <w:ind w:left="720" w:hanging="360"/>
        <w:rPr/>
      </w:pPr>
      <w:r w:rsidDel="00000000" w:rsidR="00000000" w:rsidRPr="00000000">
        <w:rPr>
          <w:rFonts w:ascii="Verdana" w:cs="Verdana" w:eastAsia="Verdana" w:hAnsi="Verdana"/>
          <w:b w:val="1"/>
          <w:bCs w:val="1"/>
          <w:color w:val="212121"/>
          <w:sz w:val="18"/>
          <w:szCs w:val="18"/>
          <w:rtl w:val="0"/>
        </w:rPr>
        <w:t xml:space="preserve">Certificate of </w:t>
      </w:r>
      <w:r w:rsidDel="00000000" w:rsidR="00000000" w:rsidRPr="00000000">
        <w:rPr>
          <w:rFonts w:ascii="Verdana" w:cs="Verdana" w:eastAsia="Verdana" w:hAnsi="Verdana"/>
          <w:b w:val="1"/>
          <w:bCs w:val="1"/>
          <w:color w:val="212121"/>
          <w:sz w:val="18"/>
          <w:szCs w:val="18"/>
          <w:rtl w:val="0"/>
        </w:rPr>
        <w:t xml:space="preserve">Dissolution</w:t>
      </w:r>
      <w:r w:rsidDel="00000000" w:rsidR="00000000" w:rsidRPr="00000000">
        <w:rPr>
          <w:rFonts w:ascii="Verdana" w:cs="Verdana" w:eastAsia="Verdana" w:hAnsi="Verdana"/>
          <w:b w:val="1"/>
          <w:bCs w:val="1"/>
          <w:color w:val="212121"/>
          <w:sz w:val="18"/>
          <w:szCs w:val="18"/>
          <w:rtl w:val="0"/>
        </w:rPr>
        <w:t xml:space="preserve">.</w:t>
      </w:r>
      <w:r w:rsidDel="00000000" w:rsidR="00000000" w:rsidRPr="00000000">
        <w:rPr>
          <w:rFonts w:ascii="Verdana" w:cs="Verdana" w:eastAsia="Verdana" w:hAnsi="Verdana"/>
          <w:color w:val="212121"/>
          <w:sz w:val="18"/>
          <w:szCs w:val="18"/>
          <w:rtl w:val="0"/>
        </w:rPr>
        <w:t xml:space="preserve"> Upon receipt of the articles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and any other required documents and information, the Director will endorse the articles with a certificate, which will constitute the certificate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(OBCA, s. </w:t>
      </w:r>
      <w:hyperlink r:id="rId11">
        <w:r w:rsidDel="00000000" w:rsidR="00000000" w:rsidRPr="00000000">
          <w:rPr>
            <w:rFonts w:ascii="Verdana" w:cs="Verdana" w:eastAsia="Verdana" w:hAnsi="Verdana"/>
            <w:color w:val="006ebb"/>
            <w:sz w:val="18"/>
            <w:szCs w:val="18"/>
            <w:u w:val="single"/>
            <w:rtl w:val="0"/>
          </w:rPr>
          <w:t xml:space="preserve">239</w:t>
        </w:r>
      </w:hyperlink>
      <w:r w:rsidDel="00000000" w:rsidR="00000000" w:rsidRPr="00000000">
        <w:rPr>
          <w:rFonts w:ascii="Verdana" w:cs="Verdana" w:eastAsia="Verdana" w:hAnsi="Verdana"/>
          <w:color w:val="212121"/>
          <w:sz w:val="18"/>
          <w:szCs w:val="18"/>
          <w:rtl w:val="0"/>
        </w:rPr>
        <w:t xml:space="preserve">(1)).</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36">
      <w:pPr>
        <w:spacing w:line="408" w:lineRule="auto"/>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Voluntary Liquidation and </w:t>
      </w:r>
      <w:r w:rsidDel="00000000" w:rsidR="00000000" w:rsidRPr="00000000">
        <w:rPr>
          <w:rFonts w:ascii="Verdana" w:cs="Verdana" w:eastAsia="Verdana" w:hAnsi="Verdana"/>
          <w:b w:val="1"/>
          <w:bCs w:val="1"/>
          <w:color w:val="212121"/>
          <w:sz w:val="18"/>
          <w:szCs w:val="18"/>
          <w:rtl w:val="0"/>
        </w:rPr>
        <w:t xml:space="preserve">Dissolution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corporation may be voluntarily liquidated and dissolved by a special resolution of its shareholders or, where the corporation has issued more than one class of shares, by special resolutions of the holders of each class whether or not they are otherwise entitled to vote (CBCA, s. </w:t>
      </w:r>
      <w:hyperlink r:id="rId12">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(3)).</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Except where a corporation only has a few shareholders, the normal procedure in a voluntary liquidation is to call a special meeting of the shareholders to consider the special resolution. Notice of any meeting at which voluntary liquidation and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is to be proposed must set out the terms thereof (CBCA, s. </w:t>
      </w:r>
      <w:hyperlink r:id="rId13">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(2)). Generally, the same rules apply to any such meeting as would apply to any special meeting of the shareholders (</w:t>
      </w:r>
      <w:r w:rsidDel="00000000" w:rsidR="00000000" w:rsidRPr="00000000">
        <w:rPr>
          <w:rFonts w:ascii="Verdana" w:cs="Verdana" w:eastAsia="Verdana" w:hAnsi="Verdana"/>
          <w:i w:val="1"/>
          <w:iCs w:val="1"/>
          <w:color w:val="212121"/>
          <w:sz w:val="18"/>
          <w:szCs w:val="18"/>
          <w:rtl w:val="0"/>
        </w:rPr>
        <w:t xml:space="preserve">e.g.</w:t>
      </w:r>
      <w:r w:rsidDel="00000000" w:rsidR="00000000" w:rsidRPr="00000000">
        <w:rPr>
          <w:rFonts w:ascii="Verdana" w:cs="Verdana" w:eastAsia="Verdana" w:hAnsi="Verdana"/>
          <w:color w:val="212121"/>
          <w:sz w:val="18"/>
          <w:szCs w:val="18"/>
          <w:rtl w:val="0"/>
        </w:rPr>
        <w:t xml:space="preserve">, with respect to quorum).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There is no absolute requirement to have a liquidator in a voluntary liquidation and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under the CBCA. However, the court may appoint any person, including a director, officer or a shareholder of the corporation or any other body corporate as liquidator of the corporation. The liquidator's purpose is to liquidate the corporation's business and affairs and distribute its property (CBCA, s. </w:t>
      </w:r>
      <w:hyperlink r:id="rId14">
        <w:r w:rsidDel="00000000" w:rsidR="00000000" w:rsidRPr="00000000">
          <w:rPr>
            <w:rFonts w:ascii="Verdana" w:cs="Verdana" w:eastAsia="Verdana" w:hAnsi="Verdana"/>
            <w:color w:val="006ebb"/>
            <w:sz w:val="18"/>
            <w:szCs w:val="18"/>
            <w:u w:val="single"/>
            <w:rtl w:val="0"/>
          </w:rPr>
          <w:t xml:space="preserve">220</w:t>
        </w:r>
      </w:hyperlink>
      <w:r w:rsidDel="00000000" w:rsidR="00000000" w:rsidRPr="00000000">
        <w:rPr>
          <w:rFonts w:ascii="Verdana" w:cs="Verdana" w:eastAsia="Verdana" w:hAnsi="Verdana"/>
          <w:color w:val="212121"/>
          <w:sz w:val="18"/>
          <w:szCs w:val="18"/>
          <w:rtl w:val="0"/>
        </w:rPr>
        <w:t xml:space="preserve">(1)).</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corporation must file notice of the intent to dissolve, in the form that the Director fixes, with the Director (CBCA, s. </w:t>
      </w:r>
      <w:hyperlink r:id="rId15">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(4)). On receipt of a statement of intent to dissolve, the Director shall issue a certificate of intent to dissolve (CBCA, s. </w:t>
      </w:r>
      <w:hyperlink r:id="rId16">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(5)).</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After issue of a certificate of intent to dissolve, the corporation shall:</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80" w:lineRule="auto"/>
        <w:ind w:left="720" w:hanging="360"/>
      </w:pPr>
      <w:r w:rsidDel="00000000" w:rsidR="00000000" w:rsidRPr="00000000">
        <w:rPr>
          <w:rFonts w:ascii="Verdana" w:cs="Verdana" w:eastAsia="Verdana" w:hAnsi="Verdana"/>
          <w:color w:val="212121"/>
          <w:sz w:val="18"/>
          <w:szCs w:val="18"/>
          <w:rtl w:val="0"/>
        </w:rPr>
        <w:t xml:space="preserve">• </w:t>
        <w:tab/>
        <w:t xml:space="preserve">immediately cause notice thereof to be sent to each known creditor of the corporation;</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tab/>
        <w:t xml:space="preserve">without delay take reasonable steps to give notice of it in each province in Canada where the corporation was carrying on business at the time it sent the statement of intent to dissolve to the Director;</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Verdana" w:cs="Verdana" w:eastAsia="Verdana" w:hAnsi="Verdana"/>
          <w:color w:val="212121"/>
          <w:sz w:val="18"/>
          <w:szCs w:val="18"/>
          <w:rtl w:val="0"/>
        </w:rPr>
        <w:t xml:space="preserve">•</w:t>
        <w:tab/>
        <w:t xml:space="preserve">proceed to collect its property, to dispose of properties that are not to be distributed in kind to its shareholders, to discharge all its obligations and to do all other acts required to liquidate its business; and</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hd w:fill="ffffff" w:val="clear"/>
        <w:spacing w:after="280" w:before="0" w:beforeAutospacing="0" w:lineRule="auto"/>
        <w:ind w:left="720" w:hanging="360"/>
      </w:pPr>
      <w:r w:rsidDel="00000000" w:rsidR="00000000" w:rsidRPr="00000000">
        <w:rPr>
          <w:rFonts w:ascii="Verdana" w:cs="Verdana" w:eastAsia="Verdana" w:hAnsi="Verdana"/>
          <w:color w:val="212121"/>
          <w:sz w:val="18"/>
          <w:szCs w:val="18"/>
          <w:rtl w:val="0"/>
        </w:rPr>
        <w:t xml:space="preserve">•</w:t>
        <w:tab/>
        <w:t xml:space="preserve">after giving the above notices, and adequately providing for the payment or discharge of all its obligations, distribute its remaining property, either in money or in kind, among its shareholders according to their respective rights (CBCA, s. </w:t>
      </w:r>
      <w:hyperlink r:id="rId17">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(7)).</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 issue of a certificate of intent to dissolve, the corporation shall cease to carry on business except to the extent necessary for the liquidation, but its corporate existence continues until the Director issues a certificate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(CBCA, ss. </w:t>
      </w:r>
      <w:hyperlink r:id="rId18">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(6)).</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Once the above steps have been taken, articles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in the form that the Director fixes, must be sent to the Director. On receipt of the articles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the Director must issue a certificate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The corporation ceases to exist on the date shown in the certificate of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(CBCA, ss. </w:t>
      </w:r>
      <w:hyperlink r:id="rId19">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(14), (15) and (16)).</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At any time during the voluntary liquidation process, the Director or any interested person may apply to the court for an order requiring the liquidation to be continued under the supervision of the court. Where such an application is made, the court may make the order sought and any further order that it sees fit (CBCA, s. </w:t>
      </w:r>
      <w:hyperlink r:id="rId20">
        <w:r w:rsidDel="00000000" w:rsidR="00000000" w:rsidRPr="00000000">
          <w:rPr>
            <w:rFonts w:ascii="Verdana" w:cs="Verdana" w:eastAsia="Verdana" w:hAnsi="Verdana"/>
            <w:color w:val="006ebb"/>
            <w:sz w:val="18"/>
            <w:szCs w:val="18"/>
            <w:u w:val="single"/>
            <w:rtl w:val="0"/>
          </w:rPr>
          <w:t xml:space="preserve">211</w:t>
        </w:r>
      </w:hyperlink>
      <w:r w:rsidDel="00000000" w:rsidR="00000000" w:rsidRPr="00000000">
        <w:rPr>
          <w:rFonts w:ascii="Verdana" w:cs="Verdana" w:eastAsia="Verdana" w:hAnsi="Verdana"/>
          <w:color w:val="212121"/>
          <w:sz w:val="18"/>
          <w:szCs w:val="18"/>
          <w:rtl w:val="0"/>
        </w:rPr>
        <w:t xml:space="preserve">(8)). If the court makes such an order, the liquidation and </w:t>
      </w:r>
      <w:r w:rsidDel="00000000" w:rsidR="00000000" w:rsidRPr="00000000">
        <w:rPr>
          <w:rFonts w:ascii="Verdana" w:cs="Verdana" w:eastAsia="Verdana" w:hAnsi="Verdana"/>
          <w:color w:val="212121"/>
          <w:sz w:val="18"/>
          <w:szCs w:val="18"/>
          <w:rtl w:val="0"/>
        </w:rPr>
        <w:t xml:space="preserve">dissolution</w:t>
      </w:r>
      <w:r w:rsidDel="00000000" w:rsidR="00000000" w:rsidRPr="00000000">
        <w:rPr>
          <w:rFonts w:ascii="Verdana" w:cs="Verdana" w:eastAsia="Verdana" w:hAnsi="Verdana"/>
          <w:color w:val="212121"/>
          <w:sz w:val="18"/>
          <w:szCs w:val="18"/>
          <w:rtl w:val="0"/>
        </w:rPr>
        <w:t xml:space="preserve"> of the corporation continues under the supervision of the court (CBCA, s. </w:t>
      </w:r>
      <w:hyperlink r:id="rId21">
        <w:r w:rsidDel="00000000" w:rsidR="00000000" w:rsidRPr="00000000">
          <w:rPr>
            <w:rFonts w:ascii="Verdana" w:cs="Verdana" w:eastAsia="Verdana" w:hAnsi="Verdana"/>
            <w:color w:val="006ebb"/>
            <w:sz w:val="18"/>
            <w:szCs w:val="18"/>
            <w:u w:val="single"/>
            <w:rtl w:val="0"/>
          </w:rPr>
          <w:t xml:space="preserve">215</w:t>
        </w:r>
      </w:hyperlink>
      <w:r w:rsidDel="00000000" w:rsidR="00000000" w:rsidRPr="00000000">
        <w:rPr>
          <w:rFonts w:ascii="Verdana" w:cs="Verdana" w:eastAsia="Verdana" w:hAnsi="Verdana"/>
          <w:color w:val="212121"/>
          <w:sz w:val="18"/>
          <w:szCs w:val="18"/>
          <w:rtl w:val="0"/>
        </w:rPr>
        <w:t xml:space="preserve">; and see </w:t>
      </w:r>
      <w:hyperlink r:id="rId22">
        <w:r w:rsidDel="00000000" w:rsidR="00000000" w:rsidRPr="00000000">
          <w:rPr>
            <w:rFonts w:ascii="Verdana" w:cs="Verdana" w:eastAsia="Verdana" w:hAnsi="Verdana"/>
            <w:color w:val="006ebb"/>
            <w:sz w:val="18"/>
            <w:szCs w:val="18"/>
            <w:u w:val="single"/>
            <w:rtl w:val="0"/>
          </w:rPr>
          <w:t xml:space="preserve">Court-Ordered Liquidation</w:t>
        </w:r>
      </w:hyperlink>
      <w:r w:rsidDel="00000000" w:rsidR="00000000" w:rsidRPr="00000000">
        <w:rPr>
          <w:rFonts w:ascii="Verdana" w:cs="Verdana" w:eastAsia="Verdana" w:hAnsi="Verdana"/>
          <w:color w:val="212121"/>
          <w:sz w:val="18"/>
          <w:szCs w:val="18"/>
          <w:rtl w:val="0"/>
        </w:rPr>
        <w:t xml:space="preserve"> below).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qg1pw986cv9v" w:id="7"/>
      <w:bookmarkEnd w:id="7"/>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23" w:type="default"/>
      <w:headerReference r:id="rId24" w:type="firs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22"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21"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280f1327-1c75-4f93-b741-6631bd4a7c79&amp;pddocfullpath=%2Fshared%2Fdocument%2Fanalytical-materials-lpa-ca%2Furn%3AcontentItem%3A5W0W-D0Y1-JWBS-6064-00000-00&amp;pdcontentcomponentid=402959&amp;pdteaserkey=sr4&amp;pditab=allpods&amp;ecomp=L75g&amp;earg=sr4&amp;prid=618ac0b1-5e33-418c-8ca8-ca5f32f7c717#"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yperlink" Target="https://advance.lexis.com/document/lpadocument/?pdmfid=1518425&amp;crid=280f1327-1c75-4f93-b741-6631bd4a7c79&amp;pddocfullpath=%2Fshared%2Fdocument%2Fanalytical-materials-lpa-ca%2Furn%3AcontentItem%3A5W0W-D0Y1-JWBS-6064-00000-00&amp;pdcontentcomponentid=402959&amp;pdteaserkey=sr4&amp;pditab=allpods&amp;ecomp=L75g&amp;earg=sr4&amp;prid=618ac0b1-5e33-418c-8ca8-ca5f32f7c717#" TargetMode="External"/><Relationship Id="rId8" Type="http://schemas.openxmlformats.org/officeDocument/2006/relationships/hyperlink" Target="https://advance.lexis.com/document/lpadocument/?pdmfid=1518425&amp;crid=280f1327-1c75-4f93-b741-6631bd4a7c79&amp;pddocfullpath=%2Fshared%2Fdocument%2Fanalytical-materials-lpa-ca%2Furn%3AcontentItem%3A5W0W-D0Y1-JWBS-6064-00000-00&amp;pdcontentcomponentid=402959&amp;pdteaserkey=sr4&amp;pditab=allpods&amp;ecomp=L75g&amp;earg=sr4&amp;prid=618ac0b1-5e33-418c-8ca8-ca5f32f7c717#" TargetMode="External"/><Relationship Id="rId11" Type="http://schemas.openxmlformats.org/officeDocument/2006/relationships/hyperlink" Target="https://advance.lexis.com/document/lpadocument/?pdmfid=1518425&amp;crid=280f1327-1c75-4f93-b741-6631bd4a7c79&amp;pddocfullpath=%2Fshared%2Fdocument%2Fanalytical-materials-lpa-ca%2Furn%3AcontentItem%3A5W0W-D0Y1-JWBS-6064-00000-00&amp;pdcontentcomponentid=402959&amp;pdteaserkey=sr4&amp;pditab=allpods&amp;ecomp=L75g&amp;earg=sr4&amp;prid=618ac0b1-5e33-418c-8ca8-ca5f32f7c717#" TargetMode="External"/><Relationship Id="rId10" Type="http://schemas.openxmlformats.org/officeDocument/2006/relationships/hyperlink" Target="https://advance.lexis.com/document/lpadocument/?pdmfid=1518425&amp;crid=280f1327-1c75-4f93-b741-6631bd4a7c79&amp;pddocfullpath=%2Fshared%2Fdocument%2Fanalytical-materials-lpa-ca%2Furn%3AcontentItem%3A5W0W-D0Y1-JWBS-6064-00000-00&amp;pdcontentcomponentid=402959&amp;pdteaserkey=sr4&amp;pditab=allpods&amp;ecomp=L75g&amp;earg=sr4&amp;prid=618ac0b1-5e33-418c-8ca8-ca5f32f7c717#" TargetMode="External"/><Relationship Id="rId13"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12"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15"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14"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17"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16"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19"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 Id="rId18" Type="http://schemas.openxmlformats.org/officeDocument/2006/relationships/hyperlink" Target="https://advance.lexis.com/document/lpadocument/?pdmfid=1518425&amp;crid=a6d4c5cc-bf24-49cf-b6db-e71b62e7aa61&amp;pddocfullpath=%2Fshared%2Fdocument%2Fanalytical-materials-lpa-ca%2Furn%3AcontentItem%3A5W0W-D0Y1-F2MB-S2MR-00000-00&amp;pdcontentcomponentid=402959&amp;pdteaserkey=sr2&amp;pditab=allpods&amp;ecomp=L75g&amp;earg=sr2&amp;prid=618ac0b1-5e33-418c-8ca8-ca5f32f7c7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