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type w:val="continuous"/>
          <w:pgMar w:top="840" w:right="1000" w:bottom="840" w:left="1000" w:header="400" w:footer="400"/>
          <w:pgNumType w:fmt="decimal"/>
          <w:cols w:space="720"/>
        </w:sectPr>
      </w:pPr>
    </w:p>
    <w:p/>
    <w:p>
      <w:pPr>
        <w:pStyle w:val="Heading1"/>
        <w:keepNext w:val="0"/>
        <w:spacing w:after="0" w:line="340" w:lineRule="atLeast"/>
        <w:ind w:left="0" w:right="0" w:firstLine="0"/>
        <w:jc w:val="center"/>
      </w:pPr>
      <w:r>
        <w:rPr>
          <w:rFonts w:ascii="arial" w:eastAsia="arial" w:hAnsi="arial" w:cs="arial"/>
          <w:b/>
          <w:i w:val="0"/>
          <w:strike w:val="0"/>
          <w:noProof w:val="0"/>
          <w:color w:val="000000"/>
          <w:position w:val="0"/>
          <w:sz w:val="28"/>
          <w:u w:val="none"/>
          <w:vertAlign w:val="baseline"/>
        </w:rPr>
        <w:t>Shareholder Special Resolution (</w:t>
      </w:r>
      <w:r>
        <w:rPr>
          <w:rFonts w:ascii="arial" w:eastAsia="arial" w:hAnsi="arial" w:cs="arial"/>
          <w:b/>
          <w:i w:val="0"/>
          <w:strike w:val="0"/>
          <w:noProof w:val="0"/>
          <w:color w:val="000000"/>
          <w:position w:val="0"/>
          <w:sz w:val="28"/>
          <w:u w:val="none"/>
          <w:vertAlign w:val="baseline"/>
        </w:rPr>
        <w:t>Dissolution</w:t>
      </w:r>
      <w:r>
        <w:rPr>
          <w:rFonts w:ascii="arial" w:eastAsia="arial" w:hAnsi="arial" w:cs="arial"/>
          <w:b/>
          <w:i w:val="0"/>
          <w:strike w:val="0"/>
          <w:noProof w:val="0"/>
          <w:color w:val="000000"/>
          <w:position w:val="0"/>
          <w:sz w:val="28"/>
          <w:u w:val="none"/>
          <w:vertAlign w:val="baseline"/>
        </w:rPr>
        <w:t>) (Parent Corporation) (OBCA)</w:t>
      </w:r>
    </w:p>
    <w:p>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Special Resolutions of the Shareholder</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of</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[Name of Corporation]</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(the "Corporation")</w:t>
      </w:r>
    </w:p>
    <w:p>
      <w:pPr>
        <w:keepNext w:val="0"/>
        <w:spacing w:before="200" w:after="0" w:line="300" w:lineRule="atLeast"/>
        <w:ind w:left="360" w:right="0"/>
        <w:jc w:val="center"/>
      </w:pPr>
      <w:r>
        <w:rPr>
          <w:rFonts w:ascii="arial" w:eastAsia="arial" w:hAnsi="arial" w:cs="arial"/>
          <w:b/>
          <w:i w:val="0"/>
          <w:strike w:val="0"/>
          <w:noProof w:val="0"/>
          <w:color w:val="000000"/>
          <w:position w:val="0"/>
          <w:sz w:val="24"/>
          <w:u w:val="none"/>
          <w:vertAlign w:val="baseline"/>
        </w:rPr>
        <w:t>Dissolution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WHEREAS [name of parent corporation] (the "Parent") is a Canadian corporation;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AND WHEREAS the Parent is the sole shareholder of the Corporation;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AND WHEREAS the Parent, in its capacity as the sole shareholder of the Corporation, wishes to dissolve the Corporation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pursuant to s. 237 of the Ontario </w:t>
      </w:r>
      <w:r>
        <w:rPr>
          <w:rFonts w:ascii="arial" w:eastAsia="arial" w:hAnsi="arial" w:cs="arial"/>
          <w:b w:val="0"/>
          <w:i/>
          <w:strike w:val="0"/>
          <w:noProof w:val="0"/>
          <w:color w:val="000000"/>
          <w:position w:val="0"/>
          <w:sz w:val="24"/>
          <w:u w:val="none"/>
          <w:vertAlign w:val="baseline"/>
        </w:rPr>
        <w:t>Business Corporations Act</w:t>
      </w:r>
      <w:r>
        <w:rPr>
          <w:rFonts w:ascii="arial" w:eastAsia="arial" w:hAnsi="arial" w:cs="arial"/>
          <w:b w:val="0"/>
          <w:i w:val="0"/>
          <w:strike w:val="0"/>
          <w:noProof w:val="0"/>
          <w:color w:val="000000"/>
          <w:position w:val="0"/>
          <w:sz w:val="24"/>
          <w:u w:val="none"/>
          <w:vertAlign w:val="baseline"/>
        </w:rPr>
        <w:t>, R.S.O. 1990, c B.16 (the "Act").</w:t>
      </w:r>
    </w:p>
    <w:p>
      <w:pPr>
        <w:keepNext w:val="0"/>
        <w:spacing w:before="20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IT IS RESOLVED as a special resolution that:</w:t>
      </w:r>
    </w:p>
    <w:p>
      <w:pPr>
        <w:keepNext w:val="0"/>
        <w:spacing w:before="12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The Corporation be dissolved pursuant to s. 237 of the Act.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In connection with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the Corporation be and is hereby authorized and directed to execute and deliver the General Conveyance and Assumption of Liabilities Agreement (the "Agreement") between the Corporation and the Parent, substantially the same as the form presented to the sole shareholder and attached hereto as Schedule "A", pursuant to which the Corporation will transfer all of its assets and assign all of its liabilities to the Parent, and thereafter to file articles of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pursuant to the Act.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Any two officers or directors of the Corporation be and are hereby authorized and directed to settle the definitive terms of and to execute and deliver the Agreement for and on behalf of the Corporation, and the Agreement so executed shall be deemed to be the Agreement authorized and approved by these resolutions.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Any two directors or officers of the Corporation be and are hereby authorized from time to time to execute or cause to be executed all such other documentation and to do all such other acts as in such directors' or officers' opinion may be necessary or desirable to give effect to the foregoing provisions of these resolutions.</w:t>
      </w:r>
    </w:p>
    <w:p>
      <w:pPr>
        <w:keepNext w:val="0"/>
        <w:spacing w:before="20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These resolutions may be signed or executed by facsimile or portable document format and in separate counterparts and the signing or execution by way of facsimile, portable document format or counterpart shall have the same effect as the signing or execution of the original.</w:t>
      </w:r>
    </w:p>
    <w:p>
      <w:pPr>
        <w:keepNext w:val="0"/>
        <w:spacing w:before="20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The foregoing special resolution is consented to by the sole shareholder of the Corporation as evidenced by the signature hereto pursuant to the Act, effective the [day] day of [month], [year].</w:t>
      </w:r>
    </w:p>
    <w:p>
      <w:pPr>
        <w:keepNext w:val="0"/>
        <w:spacing w:before="120" w:after="0" w:line="300" w:lineRule="atLeast"/>
        <w:ind w:left="8704" w:right="0"/>
        <w:jc w:val="left"/>
      </w:pPr>
      <w:r>
        <w:rPr>
          <w:rFonts w:ascii="arial" w:eastAsia="arial" w:hAnsi="arial" w:cs="arial"/>
          <w:b w:val="0"/>
          <w:i w:val="0"/>
          <w:strike w:val="0"/>
          <w:noProof w:val="0"/>
          <w:color w:val="000000"/>
          <w:position w:val="0"/>
          <w:sz w:val="24"/>
          <w:u w:val="none"/>
          <w:vertAlign w:val="baseline"/>
        </w:rPr>
        <w:t>[Name of Shareholder]</w:t>
      </w:r>
    </w:p>
    <w:p>
      <w:pPr>
        <w:keepNext w:val="0"/>
        <w:spacing w:before="120" w:after="0" w:line="300" w:lineRule="atLeast"/>
        <w:ind w:left="8704" w:right="0"/>
        <w:jc w:val="left"/>
      </w:pPr>
      <w:r>
        <w:rPr>
          <w:rFonts w:ascii="arial" w:eastAsia="arial" w:hAnsi="arial" w:cs="arial"/>
          <w:b w:val="0"/>
          <w:i w:val="0"/>
          <w:strike w:val="0"/>
          <w:noProof w:val="0"/>
          <w:color w:val="000000"/>
          <w:position w:val="0"/>
          <w:sz w:val="24"/>
          <w:u w:val="none"/>
          <w:vertAlign w:val="baseline"/>
        </w:rPr>
        <w:t>Per: _________________________</w:t>
      </w:r>
    </w:p>
    <w:p>
      <w:pPr>
        <w:keepNext w:val="0"/>
        <w:spacing w:before="120" w:after="0" w:line="300" w:lineRule="atLeast"/>
        <w:ind w:left="8704" w:right="0"/>
        <w:jc w:val="left"/>
      </w:pPr>
      <w:r>
        <w:rPr>
          <w:rFonts w:ascii="arial" w:eastAsia="arial" w:hAnsi="arial" w:cs="arial"/>
          <w:b w:val="0"/>
          <w:i w:val="0"/>
          <w:strike w:val="0"/>
          <w:noProof w:val="0"/>
          <w:color w:val="000000"/>
          <w:position w:val="0"/>
          <w:sz w:val="24"/>
          <w:u w:val="none"/>
          <w:vertAlign w:val="baseline"/>
        </w:rPr>
        <w:t>[Name]</w:t>
      </w:r>
    </w:p>
    <w:p>
      <w:pPr>
        <w:keepNext w:val="0"/>
        <w:spacing w:before="120" w:after="0" w:line="300" w:lineRule="atLeast"/>
        <w:ind w:left="8704" w:right="0"/>
        <w:jc w:val="left"/>
      </w:pPr>
      <w:r>
        <w:rPr>
          <w:rFonts w:ascii="arial" w:eastAsia="arial" w:hAnsi="arial" w:cs="arial"/>
          <w:b w:val="0"/>
          <w:i w:val="0"/>
          <w:strike w:val="0"/>
          <w:noProof w:val="0"/>
          <w:color w:val="000000"/>
          <w:position w:val="0"/>
          <w:sz w:val="24"/>
          <w:u w:val="none"/>
          <w:vertAlign w:val="baseline"/>
        </w:rPr>
        <w:t>[Title]</w:t>
      </w:r>
    </w:p>
    <w:p>
      <w:pPr>
        <w:sectPr>
          <w:headerReference w:type="even" r:id="rId4"/>
          <w:headerReference w:type="default" r:id="rId5"/>
          <w:footerReference w:type="even" r:id="rId6"/>
          <w:footerReference w:type="default" r:id="rId7"/>
          <w:footerReference w:type="first" r:id="rId8"/>
          <w:type w:val="continuous"/>
          <w:pgMar w:top="840" w:right="1000" w:bottom="840" w:left="1000" w:header="400" w:footer="400"/>
          <w:pgNumType w:fmt="decimal" w:start="1"/>
          <w:cols w:space="720"/>
          <w:titlePg/>
        </w:sectPr>
      </w:pPr>
      <w:r>
        <w:cr/>
      </w:r>
    </w:p>
    <w:p>
      <w:pPr>
        <w:keepNext w:val="0"/>
        <w:spacing w:before="120" w:after="0" w:line="300" w:lineRule="atLeast"/>
        <w:ind w:left="360" w:right="0"/>
        <w:jc w:val="both"/>
      </w:pPr>
      <w:r>
        <w:rPr>
          <w:rFonts w:ascii="arial" w:eastAsia="arial" w:hAnsi="arial" w:cs="arial"/>
          <w:b/>
          <w:i w:val="0"/>
          <w:strike w:val="0"/>
          <w:noProof w:val="0"/>
          <w:color w:val="000000"/>
          <w:position w:val="0"/>
          <w:sz w:val="24"/>
          <w:u w:val="none"/>
          <w:vertAlign w:val="baseline"/>
        </w:rPr>
        <w:t>Schedule "A".</w:t>
      </w:r>
      <w:r>
        <w:rPr>
          <w:rFonts w:ascii="arial" w:eastAsia="arial" w:hAnsi="arial" w:cs="arial"/>
          <w:b w:val="0"/>
          <w:i w:val="0"/>
          <w:strike w:val="0"/>
          <w:noProof w:val="0"/>
          <w:color w:val="000000"/>
          <w:position w:val="0"/>
          <w:sz w:val="24"/>
          <w:u w:val="none"/>
          <w:vertAlign w:val="baseline"/>
        </w:rPr>
        <w:t xml:space="preserve"> General Conveyance and Assumption of Liabilities Agreement</w:t>
      </w:r>
    </w:p>
    <w:sectPr>
      <w:type w:val="nextPage"/>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Shareholder Special Resolution (Dissolution) (Parent Corporation) (OBCA)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Shareholder Special Resolution (Dissolution) (Parent Corporation) (OBCA)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241620477</vt:lpwstr>
  </property>
  <property fmtid="{D5CDD505-2E9C-101B-9397-08002B2CF9AE}" pid="3" name="LADocCount">
    <vt:lpwstr>1</vt:lpwstr>
  </property>
  <property fmtid="{D5CDD505-2E9C-101B-9397-08002B2CF9AE}" pid="4" name="LADocumentID:8b75339f-9c67-4485-aa55-50738ae4b6f4">
    <vt:lpwstr>Doc::/shared/lexisadvanceformatter/document?q=urn:pct:305|contextualFeaturePermID::1518425</vt:lpwstr>
  </property>
  <property fmtid="{D5CDD505-2E9C-101B-9397-08002B2CF9AE}" pid="5" name="UserPermID">
    <vt:lpwstr>urn:user:PA191561484</vt:lpwstr>
  </property>
</Properties>
</file>