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type w:val="continuous"/>
          <w:pgMar w:top="840" w:right="1000" w:bottom="840" w:left="1000" w:header="400" w:footer="400"/>
          <w:pgNumType w:fmt="decimal"/>
          <w:cols w:space="720"/>
        </w:sectPr>
      </w:pPr>
    </w:p>
    <w:p/>
    <w:p>
      <w:pPr>
        <w:pStyle w:val="Heading1"/>
        <w:keepNext w:val="0"/>
        <w:spacing w:after="0" w:line="340" w:lineRule="atLeast"/>
        <w:ind w:left="0" w:right="0" w:firstLine="0"/>
        <w:jc w:val="center"/>
      </w:pPr>
      <w:r>
        <w:rPr>
          <w:rFonts w:ascii="arial" w:eastAsia="arial" w:hAnsi="arial" w:cs="arial"/>
          <w:b/>
          <w:i w:val="0"/>
          <w:strike w:val="0"/>
          <w:noProof w:val="0"/>
          <w:color w:val="000000"/>
          <w:position w:val="0"/>
          <w:sz w:val="28"/>
          <w:u w:val="none"/>
          <w:vertAlign w:val="baseline"/>
        </w:rPr>
        <w:t>Winding Up and Distribution Agreement (OBCA)</w:t>
      </w:r>
    </w:p>
    <w:p>
      <w:r>
        <w:rPr>
          <w:rFonts w:ascii="arial" w:eastAsia="arial" w:hAnsi="arial" w:cs="arial"/>
          <w:b w:val="0"/>
          <w:i w:val="0"/>
          <w:strike w:val="0"/>
          <w:noProof w:val="0"/>
          <w:color w:val="000000"/>
          <w:position w:val="0"/>
          <w:sz w:val="24"/>
          <w:u w:val="none"/>
          <w:vertAlign w:val="baseline"/>
        </w:rPr>
        <w:br/>
      </w:r>
      <w:r>
        <w:rPr>
          <w:rFonts w:ascii="arial" w:eastAsia="arial" w:hAnsi="arial" w:cs="arial"/>
          <w:b w:val="0"/>
          <w:i w:val="0"/>
          <w:strike w:val="0"/>
          <w:noProof w:val="0"/>
          <w:color w:val="000000"/>
          <w:position w:val="0"/>
          <w:sz w:val="24"/>
          <w:u w:val="none"/>
          <w:vertAlign w:val="baseline"/>
        </w:rPr>
        <w:br/>
      </w:r>
      <w:r>
        <w:rPr>
          <w:rFonts w:ascii="arial" w:eastAsia="arial" w:hAnsi="arial" w:cs="arial"/>
          <w:b w:val="0"/>
          <w:i w:val="0"/>
          <w:strike w:val="0"/>
          <w:noProof w:val="0"/>
          <w:color w:val="000000"/>
          <w:position w:val="0"/>
          <w:sz w:val="24"/>
          <w:u w:val="none"/>
          <w:vertAlign w:val="baseline"/>
        </w:rPr>
        <w:br/>
      </w:r>
    </w:p>
    <w:p>
      <w:pPr>
        <w:keepNext w:val="0"/>
        <w:spacing w:before="200" w:after="0" w:line="300" w:lineRule="atLeast"/>
        <w:ind w:left="360" w:right="0"/>
        <w:jc w:val="center"/>
      </w:pPr>
      <w:r>
        <w:rPr>
          <w:rFonts w:ascii="arial" w:eastAsia="arial" w:hAnsi="arial" w:cs="arial"/>
          <w:b/>
          <w:i w:val="0"/>
          <w:caps/>
          <w:strike w:val="0"/>
          <w:noProof w:val="0"/>
          <w:color w:val="000000"/>
          <w:position w:val="0"/>
          <w:sz w:val="24"/>
          <w:u w:val="none"/>
          <w:vertAlign w:val="baseline"/>
        </w:rPr>
        <w:t>General Conveyance</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This agreement</w:t>
      </w:r>
      <w:r>
        <w:rPr>
          <w:rFonts w:ascii="arial" w:eastAsia="arial" w:hAnsi="arial" w:cs="arial"/>
          <w:b w:val="0"/>
          <w:i w:val="0"/>
          <w:strike w:val="0"/>
          <w:noProof w:val="0"/>
          <w:color w:val="000000"/>
          <w:position w:val="0"/>
          <w:sz w:val="24"/>
          <w:u w:val="none"/>
          <w:vertAlign w:val="baseline"/>
        </w:rPr>
        <w:t xml:space="preserve"> is made [date].</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Between:</w:t>
      </w:r>
    </w:p>
    <w:p>
      <w:pPr>
        <w:keepNext w:val="0"/>
        <w:spacing w:before="120" w:after="0" w:line="300" w:lineRule="atLeast"/>
        <w:ind w:left="360" w:right="0"/>
        <w:jc w:val="center"/>
      </w:pPr>
      <w:r>
        <w:rPr>
          <w:rFonts w:ascii="arial" w:eastAsia="arial" w:hAnsi="arial" w:cs="arial"/>
          <w:b w:val="0"/>
          <w:i w:val="0"/>
          <w:strike w:val="0"/>
          <w:noProof w:val="0"/>
          <w:color w:val="000000"/>
          <w:position w:val="0"/>
          <w:sz w:val="24"/>
          <w:u w:val="none"/>
          <w:vertAlign w:val="baseline"/>
        </w:rPr>
        <w:t>[Name of Corporation]</w:t>
      </w:r>
    </w:p>
    <w:p>
      <w:pPr>
        <w:keepNext w:val="0"/>
        <w:spacing w:before="120" w:after="0" w:line="300" w:lineRule="atLeast"/>
        <w:ind w:left="360" w:right="0"/>
        <w:jc w:val="center"/>
      </w:pPr>
      <w:r>
        <w:rPr>
          <w:rFonts w:ascii="arial" w:eastAsia="arial" w:hAnsi="arial" w:cs="arial"/>
          <w:b w:val="0"/>
          <w:i w:val="0"/>
          <w:strike w:val="0"/>
          <w:noProof w:val="0"/>
          <w:color w:val="000000"/>
          <w:position w:val="0"/>
          <w:sz w:val="24"/>
          <w:u w:val="none"/>
          <w:vertAlign w:val="baseline"/>
        </w:rPr>
        <w:t>("Transferor")</w:t>
      </w:r>
    </w:p>
    <w:p>
      <w:pPr>
        <w:keepNext w:val="0"/>
        <w:spacing w:before="120" w:after="0" w:line="300" w:lineRule="atLeast"/>
        <w:ind w:left="360" w:right="0"/>
        <w:jc w:val="center"/>
      </w:pPr>
      <w:r>
        <w:rPr>
          <w:rFonts w:ascii="arial" w:eastAsia="arial" w:hAnsi="arial" w:cs="arial"/>
          <w:b w:val="0"/>
          <w:i w:val="0"/>
          <w:strike w:val="0"/>
          <w:noProof w:val="0"/>
          <w:color w:val="000000"/>
          <w:position w:val="0"/>
          <w:sz w:val="24"/>
          <w:u w:val="none"/>
          <w:vertAlign w:val="baseline"/>
        </w:rPr>
        <w:t>–and–</w:t>
      </w:r>
    </w:p>
    <w:p>
      <w:pPr>
        <w:keepNext w:val="0"/>
        <w:spacing w:before="120" w:after="0" w:line="300" w:lineRule="atLeast"/>
        <w:ind w:left="360" w:right="0"/>
        <w:jc w:val="center"/>
      </w:pPr>
      <w:r>
        <w:rPr>
          <w:rFonts w:ascii="arial" w:eastAsia="arial" w:hAnsi="arial" w:cs="arial"/>
          <w:b w:val="0"/>
          <w:i w:val="0"/>
          <w:strike w:val="0"/>
          <w:noProof w:val="0"/>
          <w:color w:val="000000"/>
          <w:position w:val="0"/>
          <w:sz w:val="24"/>
          <w:u w:val="none"/>
          <w:vertAlign w:val="baseline"/>
        </w:rPr>
        <w:t>[Name of Shareholder]</w:t>
      </w:r>
    </w:p>
    <w:p>
      <w:pPr>
        <w:keepNext w:val="0"/>
        <w:spacing w:before="120" w:after="0" w:line="300" w:lineRule="atLeast"/>
        <w:ind w:left="360" w:right="0"/>
        <w:jc w:val="center"/>
      </w:pPr>
      <w:r>
        <w:rPr>
          <w:rFonts w:ascii="arial" w:eastAsia="arial" w:hAnsi="arial" w:cs="arial"/>
          <w:b w:val="0"/>
          <w:i w:val="0"/>
          <w:strike w:val="0"/>
          <w:noProof w:val="0"/>
          <w:color w:val="000000"/>
          <w:position w:val="0"/>
          <w:sz w:val="24"/>
          <w:u w:val="none"/>
          <w:vertAlign w:val="baseline"/>
        </w:rPr>
        <w:t>("Transferee")</w:t>
      </w:r>
    </w:p>
    <w:p>
      <w:pPr>
        <w:keepNext w:val="0"/>
        <w:spacing w:before="120" w:after="0" w:line="300" w:lineRule="atLeast"/>
        <w:ind w:left="360" w:right="0"/>
        <w:jc w:val="center"/>
      </w:pPr>
      <w:r>
        <w:rPr>
          <w:rFonts w:ascii="arial" w:eastAsia="arial" w:hAnsi="arial" w:cs="arial"/>
          <w:b w:val="0"/>
          <w:i w:val="0"/>
          <w:strike w:val="0"/>
          <w:noProof w:val="0"/>
          <w:color w:val="000000"/>
          <w:position w:val="0"/>
          <w:sz w:val="24"/>
          <w:u w:val="none"/>
          <w:vertAlign w:val="baseline"/>
        </w:rPr>
        <w:t>–and–</w:t>
      </w:r>
    </w:p>
    <w:p>
      <w:pPr>
        <w:keepNext w:val="0"/>
        <w:spacing w:before="120" w:after="0" w:line="300" w:lineRule="atLeast"/>
        <w:ind w:left="360" w:right="0"/>
        <w:jc w:val="center"/>
      </w:pPr>
      <w:r>
        <w:rPr>
          <w:rFonts w:ascii="arial" w:eastAsia="arial" w:hAnsi="arial" w:cs="arial"/>
          <w:b w:val="0"/>
          <w:i w:val="0"/>
          <w:strike w:val="0"/>
          <w:noProof w:val="0"/>
          <w:color w:val="000000"/>
          <w:position w:val="0"/>
          <w:sz w:val="24"/>
          <w:u w:val="none"/>
          <w:vertAlign w:val="baseline"/>
        </w:rPr>
        <w:t>[Names of Directors]</w:t>
      </w:r>
    </w:p>
    <w:p>
      <w:pPr>
        <w:keepNext w:val="0"/>
        <w:spacing w:before="120" w:after="0" w:line="300" w:lineRule="atLeast"/>
        <w:ind w:left="360" w:right="0"/>
        <w:jc w:val="center"/>
      </w:pPr>
      <w:r>
        <w:rPr>
          <w:rFonts w:ascii="arial" w:eastAsia="arial" w:hAnsi="arial" w:cs="arial"/>
          <w:b w:val="0"/>
          <w:i w:val="0"/>
          <w:strike w:val="0"/>
          <w:noProof w:val="0"/>
          <w:color w:val="000000"/>
          <w:position w:val="0"/>
          <w:sz w:val="24"/>
          <w:u w:val="none"/>
          <w:vertAlign w:val="baseline"/>
        </w:rPr>
        <w:t>(collectively "Directors")</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Premises: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By special resolution dated [date], the sole shareholder of the Transferor authorized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of the Transferor pursuant to s. 237 of the Ontario </w:t>
      </w:r>
      <w:r>
        <w:rPr>
          <w:rFonts w:ascii="arial" w:eastAsia="arial" w:hAnsi="arial" w:cs="arial"/>
          <w:b w:val="0"/>
          <w:i/>
          <w:strike w:val="0"/>
          <w:noProof w:val="0"/>
          <w:color w:val="000000"/>
          <w:position w:val="0"/>
          <w:sz w:val="24"/>
          <w:u w:val="none"/>
          <w:vertAlign w:val="baseline"/>
        </w:rPr>
        <w:t>Business Corporations Act</w:t>
      </w:r>
      <w:r>
        <w:rPr>
          <w:rFonts w:ascii="arial" w:eastAsia="arial" w:hAnsi="arial" w:cs="arial"/>
          <w:b w:val="0"/>
          <w:i w:val="0"/>
          <w:strike w:val="0"/>
          <w:noProof w:val="0"/>
          <w:color w:val="000000"/>
          <w:position w:val="0"/>
          <w:sz w:val="24"/>
          <w:u w:val="none"/>
          <w:vertAlign w:val="baseline"/>
        </w:rPr>
        <w:t>, R.S.O. 1990, c. B.16 ("OBCA") and the conveyance and distribution of all of the property of the Transferor to the sole shareholder of the Transferor.</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The Transferee is the sole registered and beneficial owner of all of the issued and outstanding shares in the capital of the Transferor.</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The Directors are all of the directors of the Transferor, and the Transferee desires to indemnify each of them in respect of certain liabilities.</w:t>
      </w:r>
    </w:p>
    <w:p>
      <w:pPr>
        <w:keepNext w:val="0"/>
        <w:spacing w:before="200"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In consideration of the premises, the mutual covenants in this Agreement, the services provided by each of the Directors and other consideration (the receipt and sufficiency of which are acknowledged) the parties agree as follows:</w:t>
      </w:r>
    </w:p>
    <w:p>
      <w:pPr>
        <w:keepNext w:val="0"/>
        <w:spacing w:before="12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The Transferor conveys, assigns, transfers and delivers to the Transferee, and the Transferee accepts, all of the Transferor's right, title, estate and interest in and to all its property, assets, business and undertaking, both real and personal, movable and immovable, wherever situate, including all property, assets, business and undertaking of the Transferor acquired at any time by the Transferor upon any amalgamation involving the Transferor or any predecessor of the Transferor and all cash on hand and on deposit, accounts receivable, refunds, rebates, contracts and goodwill to which the Transferor is entitled (collectively, the "Transferred Assets").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xml:space="preserve"> The date of this agreement shall be the effective date of the conveyance of the Transferred Assets.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Any contract to which the Transferor is a party which is not assigned to the Transferee (because such contract is not assignable or is not assignable without the consent of the other party or parties thereto) shall be held in trust by the Transferor for the Transferee and, to the extent permitted by such contract, be performed by the Transferee in the name of the Transferor, and all benefits derived thereunder shall be for the account of the Transferee. The Transferor agrees to use its best efforts to obtain all consents required to the transfer of such contracts. The Transferee agrees to indemnify and save harmless the Transferor from and against all liabilities of every nature and kind arising out of or in any way connected with the performance by the Transferee in the name of the Transferor of any such contract not assigned to the Transferee.</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xml:space="preserve"> The Transferee agrees to pay and discharge, and to indemnify and save harmless the Transferor in respect of, all indebtedness, liabilities and obligations of the Transferor.</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xml:space="preserve"> The Transferee agrees to indemnify and save harmless each of the Directors from any and all actions, causes of action, suits, duties, debts, accounts, bonds, covenants, contracts, claims and demands whatever to which each of them may now or hereafter be subject for or by reason of or in any way arising out of any cause, matter or thing related to or arising out of the execution, delivery and performance of this Agreement,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and any tax, salary or other liabilities of the Directors in connection therewith.</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xml:space="preserve"> The Transferor appoints the Transferee to be its attorney with full power of substitution to do and execute all acts, deeds, matters and things whatever necessary for the conveyance of the Transferred Assets in accordance with the provisions hereof. This power of attorney is granted by the Transferor to the Transferee in contemplation of the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and, being coupled with an interest, shall not be revoked by the certificate of </w:t>
      </w:r>
      <w:r>
        <w:rPr>
          <w:rFonts w:ascii="arial" w:eastAsia="arial" w:hAnsi="arial" w:cs="arial"/>
          <w:b w:val="0"/>
          <w:i w:val="0"/>
          <w:strike w:val="0"/>
          <w:noProof w:val="0"/>
          <w:color w:val="000000"/>
          <w:position w:val="0"/>
          <w:sz w:val="24"/>
          <w:u w:val="none"/>
          <w:vertAlign w:val="baseline"/>
        </w:rPr>
        <w:t>dissolution</w:t>
      </w:r>
      <w:r>
        <w:rPr>
          <w:rFonts w:ascii="arial" w:eastAsia="arial" w:hAnsi="arial" w:cs="arial"/>
          <w:b w:val="0"/>
          <w:i w:val="0"/>
          <w:strike w:val="0"/>
          <w:noProof w:val="0"/>
          <w:color w:val="000000"/>
          <w:position w:val="0"/>
          <w:sz w:val="24"/>
          <w:u w:val="none"/>
          <w:vertAlign w:val="baseline"/>
        </w:rPr>
        <w:t xml:space="preserve"> of the Transferor to be endorsed in accordance with the OBCA.</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xml:space="preserve"> Notwithstanding that the Transferor may have executed and delivered to the Transferee certain other documents and instruments of conveyance, the Transferor agrees that it will from time to time upon every reasonable request of the Transferee make, do, execute and perform or cause to be made, done, executed and performed all such further acts, deeds, documents or assurances and give all such further assurances as may be reasonably required by the Transferee for more effectually and completely vesting the Transferred Assets in the Transferee or for the purpose of registration or otherwise.</w:t>
      </w:r>
    </w:p>
    <w:p>
      <w:pPr>
        <w:keepNext w:val="0"/>
        <w:spacing w:before="12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To witness</w:t>
      </w:r>
      <w:r>
        <w:rPr>
          <w:rFonts w:ascii="arial" w:eastAsia="arial" w:hAnsi="arial" w:cs="arial"/>
          <w:b w:val="0"/>
          <w:i w:val="0"/>
          <w:strike w:val="0"/>
          <w:noProof w:val="0"/>
          <w:color w:val="000000"/>
          <w:position w:val="0"/>
          <w:sz w:val="24"/>
          <w:u w:val="none"/>
          <w:vertAlign w:val="baseline"/>
        </w:rPr>
        <w:t xml:space="preserve"> their agreement, the parties have executed and delivered this Agreement on the date first set forth above.</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[Name of Corporation]</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By: _________________________</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Name: [Name]</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Title: [Title]</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_________________________</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[Name of Transferee]</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_________________________</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[Name of Director]</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_________________________</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[Name of Director]</w:t>
      </w:r>
    </w:p>
    <w:sectPr>
      <w:headerReference w:type="even" r:id="rId4"/>
      <w:headerReference w:type="default" r:id="rId5"/>
      <w:footerReference w:type="even" r:id="rId6"/>
      <w:footerReference w:type="default" r:id="rId7"/>
      <w:footerReference w:type="first" r:id="rId8"/>
      <w:type w:val="continuous"/>
      <w:pgMar w:top="840" w:right="1000" w:bottom="840" w:left="1000" w:header="400" w:footer="400"/>
      <w:pgNumType w:fmt="decimal" w:start="1"/>
      <w:cols w:space="720"/>
      <w:titlePg/>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Winding Up and Distribution Agreement (OBCA)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Winding Up and Distribution Agreement (OBCA)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241620484</vt:lpwstr>
  </property>
  <property fmtid="{D5CDD505-2E9C-101B-9397-08002B2CF9AE}" pid="3" name="LADocCount">
    <vt:lpwstr>1</vt:lpwstr>
  </property>
  <property fmtid="{D5CDD505-2E9C-101B-9397-08002B2CF9AE}" pid="4" name="LADocumentID:8a56324f-dc46-4550-96cd-2e36a30e5e64">
    <vt:lpwstr>Doc::/shared/lexisadvanceformatter/document?q=urn:pct:305|contextualFeaturePermID::1518425</vt:lpwstr>
  </property>
  <property fmtid="{D5CDD505-2E9C-101B-9397-08002B2CF9AE}" pid="5" name="UserPermID">
    <vt:lpwstr>urn:user:PA191561484</vt:lpwstr>
  </property>
</Properties>
</file>