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Organization - Deficiencies Solutions</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ym3u8q52c6ma" w:id="4"/>
      <w:bookmarkEnd w:id="4"/>
      <w:r w:rsidDel="00000000" w:rsidR="00000000" w:rsidRPr="00000000">
        <w:rPr>
          <w:rtl w:val="0"/>
        </w:rPr>
        <w:t xml:space="preserve">Types of Solutions</w:t>
      </w:r>
    </w:p>
    <w:p w:rsidR="00000000" w:rsidDel="00000000" w:rsidP="00000000" w:rsidRDefault="00000000" w:rsidRPr="00000000" w14:paraId="0000000F">
      <w:pPr>
        <w:pStyle w:val="Heading2"/>
        <w:rPr>
          <w:rFonts w:ascii="Arial" w:cs="Arial" w:eastAsia="Arial" w:hAnsi="Arial"/>
          <w:color w:val="222222"/>
        </w:rPr>
      </w:pPr>
      <w:bookmarkStart w:colFirst="0" w:colLast="0" w:name="_5c355uz22ru7" w:id="5"/>
      <w:bookmarkEnd w:id="5"/>
      <w:r w:rsidDel="00000000" w:rsidR="00000000" w:rsidRPr="00000000">
        <w:rPr>
          <w:rtl w:val="0"/>
        </w:rPr>
        <w:t xml:space="preserve">1.</w:t>
        <w:tab/>
        <w:t xml:space="preserve">Confirmation Resolution </w:t>
      </w:r>
      <w:r w:rsidDel="00000000" w:rsidR="00000000" w:rsidRPr="00000000">
        <w:rPr>
          <w:rtl w:val="0"/>
        </w:rPr>
      </w:r>
    </w:p>
    <w:p w:rsidR="00000000" w:rsidDel="00000000" w:rsidP="00000000" w:rsidRDefault="00000000" w:rsidRPr="00000000" w14:paraId="00000010">
      <w:pPr>
        <w:pStyle w:val="Heading2"/>
        <w:rPr/>
      </w:pPr>
      <w:bookmarkStart w:colFirst="0" w:colLast="0" w:name="_8h63i1m8algh" w:id="6"/>
      <w:bookmarkEnd w:id="6"/>
      <w:r w:rsidDel="00000000" w:rsidR="00000000" w:rsidRPr="00000000">
        <w:rPr>
          <w:rtl w:val="0"/>
        </w:rPr>
        <w:t xml:space="preserve">2.</w:t>
        <w:tab/>
        <w:t xml:space="preserve">Rectification Resolution </w:t>
      </w:r>
    </w:p>
    <w:p w:rsidR="00000000" w:rsidDel="00000000" w:rsidP="00000000" w:rsidRDefault="00000000" w:rsidRPr="00000000" w14:paraId="00000011">
      <w:pPr>
        <w:pStyle w:val="Heading2"/>
        <w:rPr/>
      </w:pPr>
      <w:bookmarkStart w:colFirst="0" w:colLast="0" w:name="_prklbw6wu2dd" w:id="7"/>
      <w:bookmarkEnd w:id="7"/>
      <w:r w:rsidDel="00000000" w:rsidR="00000000" w:rsidRPr="00000000">
        <w:rPr>
          <w:rtl w:val="0"/>
        </w:rPr>
        <w:t xml:space="preserve">3.</w:t>
        <w:tab/>
        <w:t xml:space="preserve">Review of Corporate Minute book</w:t>
      </w:r>
    </w:p>
    <w:p w:rsidR="00000000" w:rsidDel="00000000" w:rsidP="00000000" w:rsidRDefault="00000000" w:rsidRPr="00000000" w14:paraId="00000012">
      <w:pPr>
        <w:pStyle w:val="Heading2"/>
        <w:rPr/>
      </w:pPr>
      <w:bookmarkStart w:colFirst="0" w:colLast="0" w:name="_pka16aiydfsr" w:id="8"/>
      <w:bookmarkEnd w:id="8"/>
      <w:r w:rsidDel="00000000" w:rsidR="00000000" w:rsidRPr="00000000">
        <w:rPr>
          <w:rtl w:val="0"/>
        </w:rPr>
        <w:t xml:space="preserve">4.</w:t>
        <w:tab/>
        <w:t xml:space="preserve">Report on Corporate Status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e0ms5r9fd37l" w:id="9"/>
      <w:bookmarkEnd w:id="9"/>
      <w:r w:rsidDel="00000000" w:rsidR="00000000" w:rsidRPr="00000000">
        <w:rPr>
          <w:rtl w:val="0"/>
        </w:rPr>
        <w:t xml:space="preserve">Confirmation Resolution</w:t>
      </w:r>
    </w:p>
    <w:p w:rsidR="00000000" w:rsidDel="00000000" w:rsidP="00000000" w:rsidRDefault="00000000" w:rsidRPr="00000000" w14:paraId="00000017">
      <w:pPr>
        <w:pStyle w:val="Heading1"/>
        <w:rPr/>
      </w:pPr>
      <w:bookmarkStart w:colFirst="0" w:colLast="0" w:name="_4qyhy86f56lq" w:id="10"/>
      <w:bookmarkEnd w:id="10"/>
      <w:r w:rsidDel="00000000" w:rsidR="00000000" w:rsidRPr="00000000">
        <w:rPr>
          <w:rtl w:val="0"/>
        </w:rPr>
      </w:r>
    </w:p>
    <w:p w:rsidR="00000000" w:rsidDel="00000000" w:rsidP="00000000" w:rsidRDefault="00000000" w:rsidRPr="00000000" w14:paraId="00000018">
      <w:pPr>
        <w:rPr>
          <w:rFonts w:ascii="Arial" w:cs="Arial" w:eastAsia="Arial" w:hAnsi="Arial"/>
          <w:color w:val="222222"/>
        </w:rPr>
      </w:pPr>
      <w:r w:rsidDel="00000000" w:rsidR="00000000" w:rsidRPr="00000000">
        <w:rPr>
          <w:rFonts w:ascii="Arial" w:cs="Arial" w:eastAsia="Arial" w:hAnsi="Arial"/>
          <w:color w:val="222222"/>
          <w:highlight w:val="white"/>
          <w:rtl w:val="0"/>
        </w:rPr>
        <w:t xml:space="preserve">The directors can rectify whatever requires only director resolution in the first place. No shareholder approval required.</w:t>
      </w:r>
      <w:r w:rsidDel="00000000" w:rsidR="00000000" w:rsidRPr="00000000">
        <w:rPr>
          <w:rtl w:val="0"/>
        </w:rPr>
      </w:r>
    </w:p>
    <w:p w:rsidR="00000000" w:rsidDel="00000000" w:rsidP="00000000" w:rsidRDefault="00000000" w:rsidRPr="00000000" w14:paraId="00000019">
      <w:pPr>
        <w:rPr>
          <w:rFonts w:ascii="Arial" w:cs="Arial" w:eastAsia="Arial" w:hAnsi="Arial"/>
          <w:color w:val="222222"/>
        </w:rPr>
      </w:pPr>
      <w:r w:rsidDel="00000000" w:rsidR="00000000" w:rsidRPr="00000000">
        <w:rPr>
          <w:rFonts w:ascii="Arial" w:cs="Arial" w:eastAsia="Arial" w:hAnsi="Arial"/>
          <w:color w:val="222222"/>
          <w:rtl w:val="0"/>
        </w:rPr>
        <w:t xml:space="preserve">Shareholders need to vote annually on shareholder matters, and if they didn’t, that would require rectification:</w:t>
      </w:r>
    </w:p>
    <w:p w:rsidR="00000000" w:rsidDel="00000000" w:rsidP="00000000" w:rsidRDefault="00000000" w:rsidRPr="00000000" w14:paraId="0000001A">
      <w:pPr>
        <w:rPr>
          <w:rFonts w:ascii="Arial" w:cs="Arial" w:eastAsia="Arial" w:hAnsi="Arial"/>
          <w:color w:val="222222"/>
        </w:rPr>
      </w:pPr>
      <w:r w:rsidDel="00000000" w:rsidR="00000000" w:rsidRPr="00000000">
        <w:rPr>
          <w:rFonts w:ascii="Arial" w:cs="Arial" w:eastAsia="Arial" w:hAnsi="Arial"/>
          <w:color w:val="222222"/>
          <w:rtl w:val="0"/>
        </w:rPr>
        <w:t xml:space="preserve">So they would need to </w:t>
      </w:r>
      <w:r w:rsidDel="00000000" w:rsidR="00000000" w:rsidRPr="00000000">
        <w:rPr>
          <w:rFonts w:ascii="Arial" w:cs="Arial" w:eastAsia="Arial" w:hAnsi="Arial"/>
          <w:color w:val="222222"/>
          <w:shd w:fill="fff2cc" w:val="clear"/>
          <w:rtl w:val="0"/>
        </w:rPr>
        <w:t xml:space="preserve">confirm</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1B">
      <w:pPr>
        <w:rPr>
          <w:rFonts w:ascii="Arial" w:cs="Arial" w:eastAsia="Arial" w:hAnsi="Arial"/>
          <w:color w:val="222222"/>
        </w:rPr>
      </w:pPr>
      <w:r w:rsidDel="00000000" w:rsidR="00000000" w:rsidRPr="00000000">
        <w:rPr>
          <w:rFonts w:ascii="Arial" w:cs="Arial" w:eastAsia="Arial" w:hAnsi="Arial"/>
          <w:color w:val="222222"/>
          <w:rtl w:val="0"/>
        </w:rPr>
        <w:t xml:space="preserve">Election of directors (easy, don’t think there’d be an issue there)</w:t>
      </w:r>
    </w:p>
    <w:p w:rsidR="00000000" w:rsidDel="00000000" w:rsidP="00000000" w:rsidRDefault="00000000" w:rsidRPr="00000000" w14:paraId="0000001C">
      <w:pPr>
        <w:rPr>
          <w:rFonts w:ascii="Arial" w:cs="Arial" w:eastAsia="Arial" w:hAnsi="Arial"/>
          <w:color w:val="222222"/>
        </w:rPr>
      </w:pPr>
      <w:r w:rsidDel="00000000" w:rsidR="00000000" w:rsidRPr="00000000">
        <w:rPr>
          <w:rFonts w:ascii="Arial" w:cs="Arial" w:eastAsia="Arial" w:hAnsi="Arial"/>
          <w:color w:val="222222"/>
          <w:rtl w:val="0"/>
        </w:rPr>
        <w:t xml:space="preserve">Approval of financial statements (very dicey, but maybe not. I think Richard has been avoiding this reality, but maybe I’m just making assumptions)</w:t>
      </w:r>
    </w:p>
    <w:p w:rsidR="00000000" w:rsidDel="00000000" w:rsidP="00000000" w:rsidRDefault="00000000" w:rsidRPr="00000000" w14:paraId="0000001D">
      <w:pPr>
        <w:rPr>
          <w:rFonts w:ascii="Arial" w:cs="Arial" w:eastAsia="Arial" w:hAnsi="Arial"/>
          <w:color w:val="222222"/>
        </w:rPr>
      </w:pPr>
      <w:r w:rsidDel="00000000" w:rsidR="00000000" w:rsidRPr="00000000">
        <w:rPr>
          <w:rFonts w:ascii="Arial" w:cs="Arial" w:eastAsia="Arial" w:hAnsi="Arial"/>
          <w:color w:val="222222"/>
          <w:rtl w:val="0"/>
        </w:rPr>
        <w:t xml:space="preserve">Dividends (there shouldn’t have been any, so that’s easy to rectify via resolution)</w:t>
      </w:r>
    </w:p>
    <w:p w:rsidR="00000000" w:rsidDel="00000000" w:rsidP="00000000" w:rsidRDefault="00000000" w:rsidRPr="00000000" w14:paraId="0000001E">
      <w:pPr>
        <w:rPr>
          <w:rFonts w:ascii="Arial" w:cs="Arial" w:eastAsia="Arial" w:hAnsi="Arial"/>
          <w:color w:val="222222"/>
        </w:rPr>
      </w:pPr>
      <w:r w:rsidDel="00000000" w:rsidR="00000000" w:rsidRPr="00000000">
        <w:rPr>
          <w:rFonts w:ascii="Arial" w:cs="Arial" w:eastAsia="Arial" w:hAnsi="Arial"/>
          <w:color w:val="222222"/>
          <w:rtl w:val="0"/>
        </w:rPr>
        <w:t xml:space="preserve">Executive compensation (dicey, you can check if shareholders actually need to vote on this; probably not. But if Richard or his friends have been pilfering money from the company, Shareholders should know sooner rather than later, or at least have this communicated to them in a slow, gentle and painless fashion). </w:t>
      </w:r>
    </w:p>
    <w:p w:rsidR="00000000" w:rsidDel="00000000" w:rsidP="00000000" w:rsidRDefault="00000000" w:rsidRPr="00000000" w14:paraId="0000001F">
      <w:pPr>
        <w:rPr/>
      </w:pPr>
      <w:r w:rsidDel="00000000" w:rsidR="00000000" w:rsidRPr="00000000">
        <w:rPr>
          <w:rFonts w:ascii="Arial" w:cs="Arial" w:eastAsia="Arial" w:hAnsi="Arial"/>
          <w:color w:val="222222"/>
          <w:rtl w:val="0"/>
        </w:rPr>
        <w:t xml:space="preserve">Auditor appointment (easy, they’ve waived this right in the shareholder agreement, so we just confirm no audited statements)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pStyle w:val="Heading1"/>
        <w:rPr/>
      </w:pPr>
      <w:bookmarkStart w:colFirst="0" w:colLast="0" w:name="_rgxqra70342q" w:id="11"/>
      <w:bookmarkEnd w:id="11"/>
      <w:r w:rsidDel="00000000" w:rsidR="00000000" w:rsidRPr="00000000">
        <w:rPr>
          <w:rtl w:val="0"/>
        </w:rPr>
        <w:t xml:space="preserve">Rectification Resolution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Fonts w:ascii="Verdana" w:cs="Verdana" w:eastAsia="Verdana" w:hAnsi="Verdana"/>
          <w:color w:val="212121"/>
          <w:sz w:val="18"/>
          <w:szCs w:val="18"/>
          <w:rtl w:val="0"/>
        </w:rPr>
        <w:t xml:space="preserve">rectification </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equitable remedy of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may be available to correct errors in the terms recorded in legal instruments, including corporate books and records. In </w:t>
      </w:r>
      <w:r w:rsidDel="00000000" w:rsidR="00000000" w:rsidRPr="00000000">
        <w:rPr>
          <w:rFonts w:ascii="Verdana" w:cs="Verdana" w:eastAsia="Verdana" w:hAnsi="Verdana"/>
          <w:i w:val="1"/>
          <w:iCs w:val="1"/>
          <w:color w:val="212121"/>
          <w:sz w:val="18"/>
          <w:szCs w:val="18"/>
          <w:rtl w:val="0"/>
        </w:rPr>
        <w:t xml:space="preserve">Canada (Attorney General) v. Fairmont Hotels Inc.</w:t>
      </w:r>
      <w:r w:rsidDel="00000000" w:rsidR="00000000" w:rsidRPr="00000000">
        <w:rPr>
          <w:rFonts w:ascii="Verdana" w:cs="Verdana" w:eastAsia="Verdana" w:hAnsi="Verdana"/>
          <w:color w:val="212121"/>
          <w:sz w:val="18"/>
          <w:szCs w:val="18"/>
          <w:rtl w:val="0"/>
        </w:rPr>
        <w:t xml:space="preserve">, </w:t>
      </w:r>
      <w:hyperlink r:id="rId6">
        <w:r w:rsidDel="00000000" w:rsidR="00000000" w:rsidRPr="00000000">
          <w:rPr>
            <w:rFonts w:ascii="Verdana" w:cs="Verdana" w:eastAsia="Verdana" w:hAnsi="Verdana"/>
            <w:color w:val="006ebb"/>
            <w:sz w:val="18"/>
            <w:szCs w:val="18"/>
            <w:u w:val="single"/>
            <w:rtl w:val="0"/>
          </w:rPr>
          <w:t xml:space="preserve">[2016] 2 S.C.R. 720</w:t>
        </w:r>
      </w:hyperlink>
      <w:r w:rsidDel="00000000" w:rsidR="00000000" w:rsidRPr="00000000">
        <w:rPr>
          <w:rFonts w:ascii="Verdana" w:cs="Verdana" w:eastAsia="Verdana" w:hAnsi="Verdana"/>
          <w:color w:val="212121"/>
          <w:sz w:val="18"/>
          <w:szCs w:val="18"/>
          <w:rtl w:val="0"/>
        </w:rPr>
        <w:t xml:space="preserve">, the Supreme Court of Canada stated: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If by mistake a legal instrument does not accord with the true agreement it was intended to record—because a term has been omitted, an unwanted term included, or a term incorrectly expresses the parties' agreement—a court may exercise its equitable jurisdiction to rectify the instrument so as to make it accord with the parties' true agreement. Alternatively put,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b w:val="1"/>
          <w:bCs w:val="1"/>
          <w:color w:val="212121"/>
          <w:sz w:val="18"/>
          <w:szCs w:val="18"/>
          <w:rtl w:val="0"/>
        </w:rPr>
        <w:t xml:space="preserve"> </w:t>
      </w:r>
      <w:r w:rsidDel="00000000" w:rsidR="00000000" w:rsidRPr="00000000">
        <w:rPr>
          <w:rFonts w:ascii="Verdana" w:cs="Verdana" w:eastAsia="Verdana" w:hAnsi="Verdana"/>
          <w:color w:val="212121"/>
          <w:sz w:val="18"/>
          <w:szCs w:val="18"/>
          <w:rtl w:val="0"/>
        </w:rPr>
        <w:t xml:space="preserve">allows a court to achieve correspondence between the parties' agreement and the substance of a legal instrument intended to record that agreement, when there is a discrepancy between the two. Its purpose is to give effect to the parties' true intentions, rather than to an erroneous transcription of those true intentions.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w:t>
      </w:r>
      <w:r w:rsidDel="00000000" w:rsidR="00000000" w:rsidRPr="00000000">
        <w:rPr>
          <w:rFonts w:ascii="Verdana" w:cs="Verdana" w:eastAsia="Verdana" w:hAnsi="Verdana"/>
          <w:i w:val="1"/>
          <w:iCs w:val="1"/>
          <w:color w:val="212121"/>
          <w:sz w:val="18"/>
          <w:szCs w:val="18"/>
          <w:rtl w:val="0"/>
        </w:rPr>
        <w:t xml:space="preserve">Fairmont</w:t>
      </w:r>
      <w:r w:rsidDel="00000000" w:rsidR="00000000" w:rsidRPr="00000000">
        <w:rPr>
          <w:rFonts w:ascii="Verdana" w:cs="Verdana" w:eastAsia="Verdana" w:hAnsi="Verdana"/>
          <w:color w:val="212121"/>
          <w:sz w:val="18"/>
          <w:szCs w:val="18"/>
          <w:rtl w:val="0"/>
        </w:rPr>
        <w:t xml:space="preserve"> case concerned a financing transaction which the parties had intended to operate on a tax neutral basis. Because of the particular financing mechanism chosen, an unanticipated tax liability arose. Judicial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was sought to convert shareholder redemptions into intercompany loans. Both the chambers judge and the Ontario Court of Appeal granted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on the ground of the parties' intended tax neutrality. However, the Supreme Court determined that both lower courts had erred in holding that the parties' intention could support a grant of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holding that a court may not modify an instrument merely because a party discovered that its operation generated an adverse and unplanned tax liability.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was available, not to cure a party's error in judgment in entering into a particular agreement, but an error in the recording of that agreement in a legal instrument. The parties could not show that they had reached a prior agreement with definite and ascertainable terms.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w:t>
      </w:r>
      <w:r w:rsidDel="00000000" w:rsidR="00000000" w:rsidRPr="00000000">
        <w:rPr>
          <w:rFonts w:ascii="Verdana" w:cs="Verdana" w:eastAsia="Verdana" w:hAnsi="Verdana"/>
          <w:i w:val="1"/>
          <w:iCs w:val="1"/>
          <w:color w:val="212121"/>
          <w:sz w:val="18"/>
          <w:szCs w:val="18"/>
          <w:rtl w:val="0"/>
        </w:rPr>
        <w:t xml:space="preserve">5551928 Manitoba Ltd. (Re)</w:t>
      </w:r>
      <w:r w:rsidDel="00000000" w:rsidR="00000000" w:rsidRPr="00000000">
        <w:rPr>
          <w:rFonts w:ascii="Verdana" w:cs="Verdana" w:eastAsia="Verdana" w:hAnsi="Verdana"/>
          <w:color w:val="212121"/>
          <w:sz w:val="18"/>
          <w:szCs w:val="18"/>
          <w:rtl w:val="0"/>
        </w:rPr>
        <w:t xml:space="preserve">, </w:t>
      </w:r>
      <w:hyperlink r:id="rId7">
        <w:r w:rsidDel="00000000" w:rsidR="00000000" w:rsidRPr="00000000">
          <w:rPr>
            <w:rFonts w:ascii="Verdana" w:cs="Verdana" w:eastAsia="Verdana" w:hAnsi="Verdana"/>
            <w:color w:val="006ebb"/>
            <w:sz w:val="18"/>
            <w:szCs w:val="18"/>
            <w:u w:val="single"/>
            <w:rtl w:val="0"/>
          </w:rPr>
          <w:t xml:space="preserve">[2018] B.C.J. No. 3106</w:t>
        </w:r>
      </w:hyperlink>
      <w:r w:rsidDel="00000000" w:rsidR="00000000" w:rsidRPr="00000000">
        <w:rPr>
          <w:rFonts w:ascii="Verdana" w:cs="Verdana" w:eastAsia="Verdana" w:hAnsi="Verdana"/>
          <w:color w:val="212121"/>
          <w:sz w:val="18"/>
          <w:szCs w:val="18"/>
          <w:rtl w:val="0"/>
        </w:rPr>
        <w:t xml:space="preserve">, </w:t>
      </w:r>
      <w:hyperlink r:id="rId8">
        <w:r w:rsidDel="00000000" w:rsidR="00000000" w:rsidRPr="00000000">
          <w:rPr>
            <w:rFonts w:ascii="Verdana" w:cs="Verdana" w:eastAsia="Verdana" w:hAnsi="Verdana"/>
            <w:color w:val="006ebb"/>
            <w:sz w:val="18"/>
            <w:szCs w:val="18"/>
            <w:u w:val="single"/>
            <w:rtl w:val="0"/>
          </w:rPr>
          <w:t xml:space="preserve">2018 BCSC 1482</w:t>
        </w:r>
      </w:hyperlink>
      <w:r w:rsidDel="00000000" w:rsidR="00000000" w:rsidRPr="00000000">
        <w:rPr>
          <w:rFonts w:ascii="Verdana" w:cs="Verdana" w:eastAsia="Verdana" w:hAnsi="Verdana"/>
          <w:color w:val="212121"/>
          <w:sz w:val="18"/>
          <w:szCs w:val="18"/>
          <w:rtl w:val="0"/>
        </w:rPr>
        <w:t xml:space="preserve">, the directors of a corporation had a definite and ascertainable agreement to drain the corporation's capital dividend account. They then passed a resolution declaring a capital dividend in the amount of $298,000. However, the corporation's accountants incorrectly calculated the capital dividend amount available at the relevant time, causing the corporation to incur a tax liability. The corporation sought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to alter the resolution such that the declared capital dividend would be reduced to $113,212. The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order was granted. The directors' agreement was clear and definite—to empty the capital dividend account at whatever level it might be. The corporation was not seeking to modify the instrument merely because it had discovered an unplanned tax liability. Rather, the agreement at the outset was to only issue a planned tax free capital dividend.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simply substituted the correct figure for the incorrect figure.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u w:val="single"/>
        </w:rPr>
      </w:pPr>
      <w:r w:rsidDel="00000000" w:rsidR="00000000" w:rsidRPr="00000000">
        <w:rPr>
          <w:rFonts w:ascii="Verdana" w:cs="Verdana" w:eastAsia="Verdana" w:hAnsi="Verdana"/>
          <w:color w:val="212121"/>
          <w:sz w:val="18"/>
          <w:szCs w:val="18"/>
          <w:rtl w:val="0"/>
        </w:rPr>
        <w:t xml:space="preserve">In </w:t>
      </w:r>
      <w:r w:rsidDel="00000000" w:rsidR="00000000" w:rsidRPr="00000000">
        <w:rPr>
          <w:rFonts w:ascii="Verdana" w:cs="Verdana" w:eastAsia="Verdana" w:hAnsi="Verdana"/>
          <w:i w:val="1"/>
          <w:iCs w:val="1"/>
          <w:color w:val="212121"/>
          <w:sz w:val="18"/>
          <w:szCs w:val="18"/>
          <w:rtl w:val="0"/>
        </w:rPr>
        <w:t xml:space="preserve">TechnoComm Solutions Inc. v. Canada (Attorney General)</w:t>
      </w:r>
      <w:r w:rsidDel="00000000" w:rsidR="00000000" w:rsidRPr="00000000">
        <w:rPr>
          <w:rFonts w:ascii="Verdana" w:cs="Verdana" w:eastAsia="Verdana" w:hAnsi="Verdana"/>
          <w:color w:val="212121"/>
          <w:sz w:val="18"/>
          <w:szCs w:val="18"/>
          <w:rtl w:val="0"/>
        </w:rPr>
        <w:t xml:space="preserve">, </w:t>
      </w:r>
      <w:hyperlink r:id="rId9">
        <w:r w:rsidDel="00000000" w:rsidR="00000000" w:rsidRPr="00000000">
          <w:rPr>
            <w:rFonts w:ascii="Verdana" w:cs="Verdana" w:eastAsia="Verdana" w:hAnsi="Verdana"/>
            <w:color w:val="006ebb"/>
            <w:sz w:val="18"/>
            <w:szCs w:val="18"/>
            <w:u w:val="single"/>
            <w:rtl w:val="0"/>
          </w:rPr>
          <w:t xml:space="preserve">[2019] O.J. No. 699</w:t>
        </w:r>
      </w:hyperlink>
      <w:r w:rsidDel="00000000" w:rsidR="00000000" w:rsidRPr="00000000">
        <w:rPr>
          <w:rFonts w:ascii="Verdana" w:cs="Verdana" w:eastAsia="Verdana" w:hAnsi="Verdana"/>
          <w:color w:val="212121"/>
          <w:sz w:val="18"/>
          <w:szCs w:val="18"/>
          <w:rtl w:val="0"/>
        </w:rPr>
        <w:t xml:space="preserve">, </w:t>
      </w:r>
      <w:hyperlink r:id="rId10">
        <w:r w:rsidDel="00000000" w:rsidR="00000000" w:rsidRPr="00000000">
          <w:rPr>
            <w:rFonts w:ascii="Verdana" w:cs="Verdana" w:eastAsia="Verdana" w:hAnsi="Verdana"/>
            <w:color w:val="006ebb"/>
            <w:sz w:val="18"/>
            <w:szCs w:val="18"/>
            <w:u w:val="single"/>
            <w:rtl w:val="0"/>
          </w:rPr>
          <w:t xml:space="preserve">2019 ONSC 924</w:t>
        </w:r>
      </w:hyperlink>
      <w:r w:rsidDel="00000000" w:rsidR="00000000" w:rsidRPr="00000000">
        <w:rPr>
          <w:rFonts w:ascii="Verdana" w:cs="Verdana" w:eastAsia="Verdana" w:hAnsi="Verdana"/>
          <w:color w:val="212121"/>
          <w:sz w:val="18"/>
          <w:szCs w:val="18"/>
          <w:rtl w:val="0"/>
        </w:rPr>
        <w:t xml:space="preserve">, a rollover agreement between the applicant corporation and its sole director/shareholder contemplated fixing the amount for paid up capital and set the stage for a tax free dividend. The corporation contended it had erroneously recorded payments to director/shareholder as loans without declaring an offsetting capital dividend, causing the director/shareholder to incur substantial tax liability. The corporation applied for an order to rectify its records to permit the retroactive declaration of a dividend. The application was dismissed. The rollover agreement created the preconditions for a tax free dividend but did not require the declaration of a dividend. It did not prove a specific intent to issue a non-taxable dividend. The director/shareholder could have declared a dividend by appropriate resolution but did not do so. This was not a case of inaccurately implementing the terms of an agreement but was a failure to exercise diligence or maintain appropriate records. </w:t>
      </w:r>
      <w:r w:rsidDel="00000000" w:rsidR="00000000" w:rsidRPr="00000000">
        <w:rPr>
          <w:rFonts w:ascii="Verdana" w:cs="Verdana" w:eastAsia="Verdana" w:hAnsi="Verdana"/>
          <w:color w:val="212121"/>
          <w:sz w:val="18"/>
          <w:szCs w:val="18"/>
          <w:u w:val="single"/>
          <w:rtl w:val="0"/>
        </w:rPr>
        <w:t xml:space="preserve">R</w:t>
      </w:r>
      <w:r w:rsidDel="00000000" w:rsidR="00000000" w:rsidRPr="00000000">
        <w:rPr>
          <w:rFonts w:ascii="Verdana" w:cs="Verdana" w:eastAsia="Verdana" w:hAnsi="Verdana"/>
          <w:color w:val="212121"/>
          <w:sz w:val="18"/>
          <w:szCs w:val="18"/>
          <w:u w:val="single"/>
          <w:rtl w:val="0"/>
        </w:rPr>
        <w:t xml:space="preserve">ectification</w:t>
      </w:r>
      <w:r w:rsidDel="00000000" w:rsidR="00000000" w:rsidRPr="00000000">
        <w:rPr>
          <w:rFonts w:ascii="Verdana" w:cs="Verdana" w:eastAsia="Verdana" w:hAnsi="Verdana"/>
          <w:color w:val="212121"/>
          <w:sz w:val="18"/>
          <w:szCs w:val="18"/>
          <w:u w:val="single"/>
          <w:rtl w:val="0"/>
        </w:rPr>
        <w:t xml:space="preserve"> was not a remedy for failure to keep proper books and records nor did it address failure to make appropriate decisions and elections at the appropriate time.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Case law suggests that a party seeking </w:t>
      </w:r>
      <w:r w:rsidDel="00000000" w:rsidR="00000000" w:rsidRPr="00000000">
        <w:rPr>
          <w:rFonts w:ascii="Verdana" w:cs="Verdana" w:eastAsia="Verdana" w:hAnsi="Verdana"/>
          <w:color w:val="212121"/>
          <w:sz w:val="18"/>
          <w:szCs w:val="18"/>
          <w:rtl w:val="0"/>
        </w:rPr>
        <w:t xml:space="preserve">rectification</w:t>
      </w:r>
      <w:r w:rsidDel="00000000" w:rsidR="00000000" w:rsidRPr="00000000">
        <w:rPr>
          <w:rFonts w:ascii="Verdana" w:cs="Verdana" w:eastAsia="Verdana" w:hAnsi="Verdana"/>
          <w:color w:val="212121"/>
          <w:sz w:val="18"/>
          <w:szCs w:val="18"/>
          <w:rtl w:val="0"/>
        </w:rPr>
        <w:t xml:space="preserve"> of corporate books and records must prove that a specific mechanism was intended but was not properly recorded. There must be clear and cogent proof of definite and ascertainable terms meant for inclusion in a legal instrument.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chbrb3jq4brl" w:id="12"/>
      <w:bookmarkEnd w:id="12"/>
      <w:r w:rsidDel="00000000" w:rsidR="00000000" w:rsidRPr="00000000">
        <w:rPr>
          <w:rtl w:val="0"/>
        </w:rPr>
        <w:t xml:space="preserve"> </w:t>
      </w:r>
    </w:p>
    <w:p w:rsidR="00000000" w:rsidDel="00000000" w:rsidP="00000000" w:rsidRDefault="00000000" w:rsidRPr="00000000" w14:paraId="0000002D">
      <w:pPr>
        <w:pStyle w:val="Heading2"/>
        <w:rPr/>
      </w:pPr>
      <w:bookmarkStart w:colFirst="0" w:colLast="0" w:name="_yfsfpn8szhfc" w:id="13"/>
      <w:bookmarkEnd w:id="13"/>
      <w:r w:rsidDel="00000000" w:rsidR="00000000" w:rsidRPr="00000000">
        <w:rPr>
          <w:rtl w:val="0"/>
        </w:rPr>
        <w:t xml:space="preserve">–</w:t>
      </w:r>
    </w:p>
    <w:p w:rsidR="00000000" w:rsidDel="00000000" w:rsidP="00000000" w:rsidRDefault="00000000" w:rsidRPr="00000000" w14:paraId="0000002E">
      <w:pPr>
        <w:rPr>
          <w:rFonts w:ascii="Arial" w:cs="Arial" w:eastAsia="Arial" w:hAnsi="Arial"/>
          <w:color w:val="222222"/>
        </w:rPr>
      </w:pPr>
      <w:r w:rsidDel="00000000" w:rsidR="00000000" w:rsidRPr="00000000">
        <w:rPr>
          <w:rFonts w:ascii="Arial" w:cs="Arial" w:eastAsia="Arial" w:hAnsi="Arial"/>
          <w:color w:val="222222"/>
          <w:highlight w:val="white"/>
          <w:rtl w:val="0"/>
        </w:rPr>
        <w:t xml:space="preserve">The directors can rectify whatever requires only director resolution in the first place. No shareholder approval required.</w:t>
      </w:r>
      <w:r w:rsidDel="00000000" w:rsidR="00000000" w:rsidRPr="00000000">
        <w:rPr>
          <w:rtl w:val="0"/>
        </w:rPr>
      </w:r>
    </w:p>
    <w:p w:rsidR="00000000" w:rsidDel="00000000" w:rsidP="00000000" w:rsidRDefault="00000000" w:rsidRPr="00000000" w14:paraId="0000002F">
      <w:pPr>
        <w:rPr>
          <w:rFonts w:ascii="Arial" w:cs="Arial" w:eastAsia="Arial" w:hAnsi="Arial"/>
          <w:color w:val="222222"/>
          <w:u w:val="single"/>
        </w:rPr>
      </w:pPr>
      <w:r w:rsidDel="00000000" w:rsidR="00000000" w:rsidRPr="00000000">
        <w:rPr>
          <w:rFonts w:ascii="Arial" w:cs="Arial" w:eastAsia="Arial" w:hAnsi="Arial"/>
          <w:color w:val="222222"/>
          <w:u w:val="single"/>
          <w:rtl w:val="0"/>
        </w:rPr>
        <w:t xml:space="preserve">Shareholders need to vote annually on shareholder matters, and if they didn’t, that would require rectification:</w:t>
      </w:r>
    </w:p>
    <w:p w:rsidR="00000000" w:rsidDel="00000000" w:rsidP="00000000" w:rsidRDefault="00000000" w:rsidRPr="00000000" w14:paraId="00000030">
      <w:pPr>
        <w:rPr>
          <w:rFonts w:ascii="Arial" w:cs="Arial" w:eastAsia="Arial" w:hAnsi="Arial"/>
          <w:color w:val="222222"/>
        </w:rPr>
      </w:pPr>
      <w:r w:rsidDel="00000000" w:rsidR="00000000" w:rsidRPr="00000000">
        <w:rPr>
          <w:rtl w:val="0"/>
        </w:rPr>
      </w:r>
    </w:p>
    <w:p w:rsidR="00000000" w:rsidDel="00000000" w:rsidP="00000000" w:rsidRDefault="00000000" w:rsidRPr="00000000" w14:paraId="00000031">
      <w:pPr>
        <w:rPr>
          <w:rFonts w:ascii="Arial" w:cs="Arial" w:eastAsia="Arial" w:hAnsi="Arial"/>
          <w:color w:val="222222"/>
        </w:rPr>
      </w:pPr>
      <w:r w:rsidDel="00000000" w:rsidR="00000000" w:rsidRPr="00000000">
        <w:rPr>
          <w:rFonts w:ascii="Arial" w:cs="Arial" w:eastAsia="Arial" w:hAnsi="Arial"/>
          <w:color w:val="222222"/>
          <w:rtl w:val="0"/>
        </w:rPr>
        <w:t xml:space="preserve">So they would need to confirm:</w:t>
      </w:r>
    </w:p>
    <w:p w:rsidR="00000000" w:rsidDel="00000000" w:rsidP="00000000" w:rsidRDefault="00000000" w:rsidRPr="00000000" w14:paraId="00000032">
      <w:pPr>
        <w:rPr>
          <w:rFonts w:ascii="Arial" w:cs="Arial" w:eastAsia="Arial" w:hAnsi="Arial"/>
          <w:color w:val="222222"/>
        </w:rPr>
      </w:pPr>
      <w:r w:rsidDel="00000000" w:rsidR="00000000" w:rsidRPr="00000000">
        <w:rPr>
          <w:rFonts w:ascii="Arial" w:cs="Arial" w:eastAsia="Arial" w:hAnsi="Arial"/>
          <w:color w:val="222222"/>
          <w:rtl w:val="0"/>
        </w:rPr>
        <w:t xml:space="preserve">Election of directors (easy, don’t think there’d be an issue there)</w:t>
      </w:r>
    </w:p>
    <w:p w:rsidR="00000000" w:rsidDel="00000000" w:rsidP="00000000" w:rsidRDefault="00000000" w:rsidRPr="00000000" w14:paraId="00000033">
      <w:pPr>
        <w:rPr>
          <w:rFonts w:ascii="Arial" w:cs="Arial" w:eastAsia="Arial" w:hAnsi="Arial"/>
          <w:color w:val="222222"/>
        </w:rPr>
      </w:pPr>
      <w:r w:rsidDel="00000000" w:rsidR="00000000" w:rsidRPr="00000000">
        <w:rPr>
          <w:rFonts w:ascii="Arial" w:cs="Arial" w:eastAsia="Arial" w:hAnsi="Arial"/>
          <w:color w:val="222222"/>
          <w:rtl w:val="0"/>
        </w:rPr>
        <w:t xml:space="preserve">Approval of financial statements (very dicey, but maybe not. I think Richard has been avoiding this reality, but maybe I’m just making assumptions)</w:t>
      </w:r>
    </w:p>
    <w:p w:rsidR="00000000" w:rsidDel="00000000" w:rsidP="00000000" w:rsidRDefault="00000000" w:rsidRPr="00000000" w14:paraId="00000034">
      <w:pPr>
        <w:rPr>
          <w:rFonts w:ascii="Arial" w:cs="Arial" w:eastAsia="Arial" w:hAnsi="Arial"/>
          <w:color w:val="222222"/>
        </w:rPr>
      </w:pPr>
      <w:r w:rsidDel="00000000" w:rsidR="00000000" w:rsidRPr="00000000">
        <w:rPr>
          <w:rFonts w:ascii="Arial" w:cs="Arial" w:eastAsia="Arial" w:hAnsi="Arial"/>
          <w:color w:val="222222"/>
          <w:rtl w:val="0"/>
        </w:rPr>
        <w:t xml:space="preserve">Dividends (there shouldn’t have been any, so that’s easy to rectify via resolution)</w:t>
      </w:r>
    </w:p>
    <w:p w:rsidR="00000000" w:rsidDel="00000000" w:rsidP="00000000" w:rsidRDefault="00000000" w:rsidRPr="00000000" w14:paraId="00000035">
      <w:pPr>
        <w:rPr>
          <w:rFonts w:ascii="Arial" w:cs="Arial" w:eastAsia="Arial" w:hAnsi="Arial"/>
          <w:color w:val="222222"/>
        </w:rPr>
      </w:pPr>
      <w:r w:rsidDel="00000000" w:rsidR="00000000" w:rsidRPr="00000000">
        <w:rPr>
          <w:rFonts w:ascii="Arial" w:cs="Arial" w:eastAsia="Arial" w:hAnsi="Arial"/>
          <w:color w:val="222222"/>
          <w:rtl w:val="0"/>
        </w:rPr>
        <w:t xml:space="preserve">Executive compensation (dicey, you can check if shareholders actually need to vote on this; probably not. But if Richard or his friends have been pilfering money from the company, Shareholders should know sooner rather than later, or at least have this communicated to them in a slow, gentle and painless fashion). </w:t>
      </w:r>
    </w:p>
    <w:p w:rsidR="00000000" w:rsidDel="00000000" w:rsidP="00000000" w:rsidRDefault="00000000" w:rsidRPr="00000000" w14:paraId="00000036">
      <w:pPr>
        <w:rPr>
          <w:rFonts w:ascii="Arial" w:cs="Arial" w:eastAsia="Arial" w:hAnsi="Arial"/>
          <w:color w:val="222222"/>
        </w:rPr>
      </w:pPr>
      <w:r w:rsidDel="00000000" w:rsidR="00000000" w:rsidRPr="00000000">
        <w:rPr>
          <w:rFonts w:ascii="Arial" w:cs="Arial" w:eastAsia="Arial" w:hAnsi="Arial"/>
          <w:color w:val="222222"/>
          <w:rtl w:val="0"/>
        </w:rPr>
        <w:t xml:space="preserve">Auditor appointment (easy, they’ve waived this right in the shareholder agreement, so we just confirm no audited statements)</w:t>
      </w:r>
    </w:p>
    <w:p w:rsidR="00000000" w:rsidDel="00000000" w:rsidP="00000000" w:rsidRDefault="00000000" w:rsidRPr="00000000" w14:paraId="00000037">
      <w:pPr>
        <w:rPr>
          <w:rFonts w:ascii="Arial" w:cs="Arial" w:eastAsia="Arial" w:hAnsi="Arial"/>
          <w:color w:val="222222"/>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Blah blah per letter to RM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jli720ltf8h5" w:id="14"/>
      <w:bookmarkEnd w:id="14"/>
      <w:r w:rsidDel="00000000" w:rsidR="00000000" w:rsidRPr="00000000">
        <w:rPr>
          <w:rtl w:val="0"/>
        </w:rPr>
        <w:t xml:space="preserve">Review of Corporate Minute book</w:t>
      </w:r>
    </w:p>
    <w:p w:rsidR="00000000" w:rsidDel="00000000" w:rsidP="00000000" w:rsidRDefault="00000000" w:rsidRPr="00000000" w14:paraId="0000003C">
      <w:pPr>
        <w:spacing w:after="240" w:before="240" w:lineRule="auto"/>
        <w:rPr>
          <w:color w:val="212121"/>
          <w:sz w:val="24"/>
          <w:szCs w:val="24"/>
        </w:rPr>
      </w:pPr>
      <w:r w:rsidDel="00000000" w:rsidR="00000000" w:rsidRPr="00000000">
        <w:rPr>
          <w:color w:val="212121"/>
          <w:sz w:val="24"/>
          <w:szCs w:val="24"/>
          <w:rtl w:val="0"/>
        </w:rPr>
        <w:t xml:space="preserve">In addition to and upon completion of the Practice Management steps listed above, a review of and report on the minute book(s) of the relevant corporations will be necessary.</w:t>
      </w:r>
    </w:p>
    <w:p w:rsidR="00000000" w:rsidDel="00000000" w:rsidP="00000000" w:rsidRDefault="00000000" w:rsidRPr="00000000" w14:paraId="0000003D">
      <w:pPr>
        <w:spacing w:after="240" w:before="240" w:lineRule="auto"/>
        <w:rPr>
          <w:color w:val="212121"/>
          <w:sz w:val="24"/>
          <w:szCs w:val="24"/>
        </w:rPr>
      </w:pPr>
      <w:r w:rsidDel="00000000" w:rsidR="00000000" w:rsidRPr="00000000">
        <w:rPr>
          <w:color w:val="212121"/>
          <w:sz w:val="24"/>
          <w:szCs w:val="24"/>
          <w:rtl w:val="0"/>
        </w:rPr>
        <w:t xml:space="preserve">This review and report step includes the following activities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For each corporation in the Legacy Group, in respect of which RM has a retainer agreement that does not explicitly exclude responsibility as corporate counsel, a review of the corporate minute book should be performed. Generally speaking, a review of the corporate minute book will follow the scope of the materials set out, for reference purposes only, in Appendix “A”.</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pStyle w:val="Heading1"/>
        <w:rPr/>
      </w:pPr>
      <w:bookmarkStart w:colFirst="0" w:colLast="0" w:name="_gtpyt2ehdhzb" w:id="15"/>
      <w:bookmarkEnd w:id="15"/>
      <w:r w:rsidDel="00000000" w:rsidR="00000000" w:rsidRPr="00000000">
        <w:rPr>
          <w:rtl w:val="0"/>
        </w:rPr>
        <w:t xml:space="preserve">Report on Corporate Status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For each Legacy Group entity where a review of the corporate minute book is performed, a report on corporate status should be prepared and provided to the client.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Generally speaking, a corporate status report may be expected to follow the scope of the materials set out, for reference purposes only, in Appendix “B”.</w:t>
      </w:r>
    </w:p>
    <w:p w:rsidR="00000000" w:rsidDel="00000000" w:rsidP="00000000" w:rsidRDefault="00000000" w:rsidRPr="00000000" w14:paraId="00000043">
      <w:pPr>
        <w:spacing w:after="240" w:before="240" w:lineRule="auto"/>
        <w:rPr>
          <w:color w:val="212121"/>
          <w:sz w:val="24"/>
          <w:szCs w:val="24"/>
        </w:rPr>
      </w:pPr>
      <w:r w:rsidDel="00000000" w:rsidR="00000000" w:rsidRPr="00000000">
        <w:rPr>
          <w:color w:val="212121"/>
          <w:sz w:val="24"/>
          <w:szCs w:val="24"/>
          <w:rtl w:val="0"/>
        </w:rPr>
        <w:t xml:space="preserve">Once the review has been completed and the report has been prepared, the existence of certain deficiencies may be established. In that case, it will be appropriate for RM to advice Legacy on the available mechanisms for rectifying the deficiencies.</w:t>
      </w:r>
    </w:p>
    <w:p w:rsidR="00000000" w:rsidDel="00000000" w:rsidP="00000000" w:rsidRDefault="00000000" w:rsidRPr="00000000" w14:paraId="00000044">
      <w:pPr>
        <w:spacing w:after="240" w:before="240" w:lineRule="auto"/>
        <w:rPr>
          <w:sz w:val="24"/>
          <w:szCs w:val="24"/>
        </w:rPr>
      </w:pPr>
      <w:r w:rsidDel="00000000" w:rsidR="00000000" w:rsidRPr="00000000">
        <w:rPr>
          <w:color w:val="212121"/>
          <w:sz w:val="24"/>
          <w:szCs w:val="24"/>
          <w:rtl w:val="0"/>
        </w:rPr>
        <w:t xml:space="preserve">Experience shows that even the most commercially minded of corporate directors will be minded to use resolution(s) and other corporate law techniques to rectify the corporate records if they see that the only alternative to internal rectification is a lengthy process of going before the courts, and ultimately needing to rely on the court’s discretion in order for the relevant records to be rectified.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advance.lexis.com/document/lpadocument/?pdmfid=1518425&amp;crid=7038c0fb-a6a3-4ded-bd7d-048be28aafa2&amp;pddocfullpath=%2Fshared%2Fdocument%2Fanalytical-materials-lpa-ca%2Furn%3AcontentItem%3A5W2R-PP01-FFTT-X2R0-00000-00&amp;pdcontentcomponentid=402959&amp;pdteaserkey=sr5&amp;pditab=allpods&amp;ecomp=L75g&amp;earg=sr5&amp;prid=68c3bac2-44f4-4f31-8a18-6c5a3c4d06b3#"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7038c0fb-a6a3-4ded-bd7d-048be28aafa2&amp;pddocfullpath=%2Fshared%2Fdocument%2Fanalytical-materials-lpa-ca%2Furn%3AcontentItem%3A5W2R-PP01-FFTT-X2R0-00000-00&amp;pdcontentcomponentid=402959&amp;pdteaserkey=sr5&amp;pditab=allpods&amp;ecomp=L75g&amp;earg=sr5&amp;prid=68c3bac2-44f4-4f31-8a18-6c5a3c4d06b3#"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dvance.lexis.com/document/lpadocument/?pdmfid=1518425&amp;crid=7038c0fb-a6a3-4ded-bd7d-048be28aafa2&amp;pddocfullpath=%2Fshared%2Fdocument%2Fanalytical-materials-lpa-ca%2Furn%3AcontentItem%3A5W2R-PP01-FFTT-X2R0-00000-00&amp;pdcontentcomponentid=402959&amp;pdteaserkey=sr5&amp;pditab=allpods&amp;ecomp=L75g&amp;earg=sr5&amp;prid=68c3bac2-44f4-4f31-8a18-6c5a3c4d06b3#" TargetMode="External"/><Relationship Id="rId7" Type="http://schemas.openxmlformats.org/officeDocument/2006/relationships/hyperlink" Target="https://advance.lexis.com/document/lpadocument/?pdmfid=1518425&amp;crid=7038c0fb-a6a3-4ded-bd7d-048be28aafa2&amp;pddocfullpath=%2Fshared%2Fdocument%2Fanalytical-materials-lpa-ca%2Furn%3AcontentItem%3A5W2R-PP01-FFTT-X2R0-00000-00&amp;pdcontentcomponentid=402959&amp;pdteaserkey=sr5&amp;pditab=allpods&amp;ecomp=L75g&amp;earg=sr5&amp;prid=68c3bac2-44f4-4f31-8a18-6c5a3c4d06b3#" TargetMode="External"/><Relationship Id="rId8" Type="http://schemas.openxmlformats.org/officeDocument/2006/relationships/hyperlink" Target="https://advance.lexis.com/document/lpadocument/?pdmfid=1518425&amp;crid=7038c0fb-a6a3-4ded-bd7d-048be28aafa2&amp;pddocfullpath=%2Fshared%2Fdocument%2Fanalytical-materials-lpa-ca%2Furn%3AcontentItem%3A5W2R-PP01-FFTT-X2R0-00000-00&amp;pdcontentcomponentid=402959&amp;pdteaserkey=sr5&amp;pditab=allpods&amp;ecomp=L75g&amp;earg=sr5&amp;prid=68c3bac2-44f4-4f31-8a18-6c5a3c4d06b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