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Matthew AJ Levine </w:t>
      </w:r>
    </w:p>
    <w:p w:rsidR="00000000" w:rsidDel="00000000" w:rsidP="00000000" w:rsidRDefault="00000000" w:rsidRPr="00000000" w14:paraId="00000002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paiv2oq3e77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Professional Corporation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7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both"/>
        <w:rPr/>
      </w:pPr>
      <w:bookmarkStart w:colFirst="0" w:colLast="0" w:name="_ajkbc8tn9asw" w:id="2"/>
      <w:bookmarkEnd w:id="2"/>
      <w:r w:rsidDel="00000000" w:rsidR="00000000" w:rsidRPr="00000000">
        <w:rPr>
          <w:rtl w:val="0"/>
        </w:rPr>
        <w:t xml:space="preserve">Corporate Law Practice - Organization - Deficiencies</w:t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nqibd0adg555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0x2tf3yklo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qcbf4o8oehr" w:id="5"/>
      <w:bookmarkEnd w:id="5"/>
      <w:r w:rsidDel="00000000" w:rsidR="00000000" w:rsidRPr="00000000">
        <w:rPr>
          <w:rtl w:val="0"/>
        </w:rPr>
        <w:t xml:space="preserve">Types of Deficiencies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</w:t>
        <w:tab/>
        <w:t xml:space="preserve">Ordinary Resolution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</w:t>
        <w:tab/>
        <w:t xml:space="preserve">Special Resolution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chbrb3jq4brl" w:id="6"/>
      <w:bookmarkEnd w:id="6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yfsfpn8szhfc" w:id="7"/>
      <w:bookmarkEnd w:id="7"/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ind w:left="5760" w:hanging="5760"/>
      <w:rPr/>
    </w:pPr>
    <w:r w:rsidDel="00000000" w:rsidR="00000000" w:rsidRPr="00000000">
      <w:rPr/>
      <w:drawing>
        <wp:inline distB="114300" distT="114300" distL="114300" distR="114300">
          <wp:extent cx="1485900" cy="8001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485900" cy="800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