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color w:val="08122b"/>
          <w:u w:val="none"/>
        </w:rPr>
      </w:pPr>
      <w:bookmarkStart w:colFirst="0" w:colLast="0" w:name="_1yfckedhpjf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122b"/>
          <w:u w:val="none"/>
          <w:rtl w:val="0"/>
        </w:rPr>
        <w:t xml:space="preserve">Matthew AJ Levine </w:t>
      </w:r>
    </w:p>
    <w:p w:rsidR="00000000" w:rsidDel="00000000" w:rsidP="00000000" w:rsidRDefault="00000000" w:rsidRPr="00000000" w14:paraId="00000002">
      <w:pPr>
        <w:pStyle w:val="Heading4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color w:val="08122b"/>
          <w:u w:val="none"/>
        </w:rPr>
      </w:pPr>
      <w:bookmarkStart w:colFirst="0" w:colLast="0" w:name="_paiv2oq3e77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122b"/>
          <w:u w:val="none"/>
          <w:rtl w:val="0"/>
        </w:rPr>
        <w:t xml:space="preserve">Professional Corporation</w:t>
      </w:r>
    </w:p>
    <w:p w:rsidR="00000000" w:rsidDel="00000000" w:rsidP="00000000" w:rsidRDefault="00000000" w:rsidRPr="00000000" w14:paraId="00000003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4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5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6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office@levinelegal.ca</w:t>
      </w:r>
    </w:p>
    <w:p w:rsidR="00000000" w:rsidDel="00000000" w:rsidP="00000000" w:rsidRDefault="00000000" w:rsidRPr="00000000" w14:paraId="00000007">
      <w:pPr>
        <w:spacing w:before="0"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both"/>
        <w:rPr/>
      </w:pPr>
      <w:bookmarkStart w:colFirst="0" w:colLast="0" w:name="_ajkbc8tn9asw" w:id="2"/>
      <w:bookmarkEnd w:id="2"/>
      <w:r w:rsidDel="00000000" w:rsidR="00000000" w:rsidRPr="00000000">
        <w:rPr>
          <w:rtl w:val="0"/>
        </w:rPr>
        <w:t xml:space="preserve">Corporate Law Practice - Resolutions - Shareholders</w:t>
      </w:r>
    </w:p>
    <w:p w:rsidR="00000000" w:rsidDel="00000000" w:rsidP="00000000" w:rsidRDefault="00000000" w:rsidRPr="00000000" w14:paraId="0000000A">
      <w:pPr>
        <w:pStyle w:val="Subtitle"/>
        <w:rPr/>
      </w:pPr>
      <w:bookmarkStart w:colFirst="0" w:colLast="0" w:name="_nqibd0adg555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January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0x2tf3yklo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wqcbf4o8oehr" w:id="5"/>
      <w:bookmarkEnd w:id="5"/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6e7swld42v9f" w:id="6"/>
      <w:bookmarkEnd w:id="6"/>
      <w:r w:rsidDel="00000000" w:rsidR="00000000" w:rsidRPr="00000000">
        <w:rPr>
          <w:rtl w:val="0"/>
        </w:rPr>
        <w:t xml:space="preserve">1.</w:t>
        <w:tab/>
        <w:t xml:space="preserve">Ordinary Resolution(s)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eah73z33ec7" w:id="7"/>
      <w:bookmarkEnd w:id="7"/>
      <w:r w:rsidDel="00000000" w:rsidR="00000000" w:rsidRPr="00000000">
        <w:rPr>
          <w:rtl w:val="0"/>
        </w:rPr>
        <w:t xml:space="preserve">2.  </w:t>
        <w:tab/>
        <w:t xml:space="preserve">Special Resolution(s) 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bzjgygy0g2l4" w:id="8"/>
      <w:bookmarkEnd w:id="8"/>
      <w:r w:rsidDel="00000000" w:rsidR="00000000" w:rsidRPr="00000000">
        <w:rPr>
          <w:rtl w:val="0"/>
        </w:rPr>
        <w:t xml:space="preserve">3. </w:t>
        <w:tab/>
        <w:t xml:space="preserve">[Extraordinary Resolution(s)] - does not exist in canadian corporate law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Rule="auto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Under the </w:t>
      </w:r>
      <w:hyperlink r:id="rId6">
        <w:r w:rsidDel="00000000" w:rsidR="00000000" w:rsidRPr="00000000">
          <w:rPr>
            <w:color w:val="0e568c"/>
            <w:sz w:val="27"/>
            <w:szCs w:val="27"/>
            <w:rtl w:val="0"/>
          </w:rPr>
          <w:t xml:space="preserve">Canada Business Corporations Act</w:t>
        </w:r>
      </w:hyperlink>
      <w:r w:rsidDel="00000000" w:rsidR="00000000" w:rsidRPr="00000000">
        <w:rPr>
          <w:sz w:val="27"/>
          <w:szCs w:val="27"/>
          <w:rtl w:val="0"/>
        </w:rPr>
        <w:t xml:space="preserve"> (CBCA), an ordinary resolution and a special resolution differ from each other only by the level of support needed to pass the resolution at a meeting of shareholders.</w:t>
      </w:r>
    </w:p>
    <w:p w:rsidR="00000000" w:rsidDel="00000000" w:rsidP="00000000" w:rsidRDefault="00000000" w:rsidRPr="00000000" w14:paraId="00000013">
      <w:pPr>
        <w:spacing w:before="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ind w:left="0" w:firstLine="0"/>
        <w:rPr/>
      </w:pPr>
      <w:bookmarkStart w:colFirst="0" w:colLast="0" w:name="_o0cr4e9qlioc" w:id="9"/>
      <w:bookmarkEnd w:id="9"/>
      <w:r w:rsidDel="00000000" w:rsidR="00000000" w:rsidRPr="00000000">
        <w:rPr>
          <w:rtl w:val="0"/>
        </w:rPr>
        <w:t xml:space="preserve">Ordinary Resolution</w:t>
      </w:r>
    </w:p>
    <w:p w:rsidR="00000000" w:rsidDel="00000000" w:rsidP="00000000" w:rsidRDefault="00000000" w:rsidRPr="00000000" w14:paraId="00000015">
      <w:pPr>
        <w:spacing w:before="0" w:lineRule="auto"/>
        <w:jc w:val="both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Rule="auto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An ordinary resolution requires approval by a bare or simple majority of the votes cast on the motion (that is, not less than 50% +1 votes out of all votes cast, which excludes from both the numerator and denominator all shares whose votes are not cast for whatever reason including abstention).  </w:t>
      </w:r>
    </w:p>
    <w:p w:rsidR="00000000" w:rsidDel="00000000" w:rsidP="00000000" w:rsidRDefault="00000000" w:rsidRPr="00000000" w14:paraId="00000017">
      <w:pPr>
        <w:spacing w:before="0" w:lineRule="auto"/>
        <w:jc w:val="both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Rule="auto"/>
        <w:jc w:val="both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0" w:lineRule="auto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An ordinary resolution may also be passed if a written resolution is signed by all the shareholders entitled to vote on that resolution at a meeting of shareholders. Therefore, an ordinary resolution or a special resolution passed by written resolution must be unanimous (although it may exclude shareholders whose rights do not entitle them to vote on the resolution).</w:t>
      </w:r>
    </w:p>
    <w:p w:rsidR="00000000" w:rsidDel="00000000" w:rsidP="00000000" w:rsidRDefault="00000000" w:rsidRPr="00000000" w14:paraId="0000001A">
      <w:pPr>
        <w:spacing w:before="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pa8gctau8pq5" w:id="10"/>
      <w:bookmarkEnd w:id="10"/>
      <w:r w:rsidDel="00000000" w:rsidR="00000000" w:rsidRPr="00000000">
        <w:rPr>
          <w:rtl w:val="0"/>
        </w:rPr>
        <w:t xml:space="preserve">Special Resolution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0" w:lineRule="auto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 special resolution requires the approval of not less than two-thirds of the votes cast at a special meeting of shareholders (which excludes from both the numerator and denominator all shares whose votes are not cast for whatever reason including abstention).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0" w:lineRule="auto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 special resolution may also be passed if a written resolution is signed by all the shareholders entitled to vote on that resolution at a meeting of shareholders. Therefore, an ordinary resolution or a special resolution passed by written resolution must be unanimous (although it may exclude shareholders whose rights do not entitle them to vote on the resolution).</w:t>
      </w:r>
    </w:p>
    <w:p w:rsidR="00000000" w:rsidDel="00000000" w:rsidP="00000000" w:rsidRDefault="00000000" w:rsidRPr="00000000" w14:paraId="00000022">
      <w:pPr>
        <w:spacing w:before="0" w:lineRule="auto"/>
        <w:jc w:val="both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0" w:lineRule="auto"/>
        <w:jc w:val="both"/>
        <w:rPr/>
      </w:pPr>
      <w:r w:rsidDel="00000000" w:rsidR="00000000" w:rsidRPr="00000000">
        <w:rPr>
          <w:sz w:val="27"/>
          <w:szCs w:val="27"/>
          <w:rtl w:val="0"/>
        </w:rPr>
        <w:t xml:space="preserve">In some circumstances, both the CBCA and the </w:t>
      </w:r>
      <w:hyperlink r:id="rId7">
        <w:r w:rsidDel="00000000" w:rsidR="00000000" w:rsidRPr="00000000">
          <w:rPr>
            <w:color w:val="0e568c"/>
            <w:sz w:val="27"/>
            <w:szCs w:val="27"/>
            <w:rtl w:val="0"/>
          </w:rPr>
          <w:t xml:space="preserve">Ontario Business Corporations Act</w:t>
        </w:r>
      </w:hyperlink>
      <w:r w:rsidDel="00000000" w:rsidR="00000000" w:rsidRPr="00000000">
        <w:rPr>
          <w:sz w:val="27"/>
          <w:szCs w:val="27"/>
          <w:rtl w:val="0"/>
        </w:rPr>
        <w:t xml:space="preserve"> (OBCA), call for a special resolution of the class or series of shares voting separately as a class or series.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uif8wk9dxp0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chbrb3jq4brl" w:id="12"/>
      <w:bookmarkEnd w:id="12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yfsfpn8szhfc" w:id="13"/>
      <w:bookmarkEnd w:id="13"/>
      <w:r w:rsidDel="00000000" w:rsidR="00000000" w:rsidRPr="00000000">
        <w:rPr>
          <w:rtl w:val="0"/>
        </w:rPr>
        <w:t xml:space="preserve">Canadian corporate law does not recognize extraordinary resolutions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ind w:left="5760" w:hanging="5760"/>
      <w:rPr/>
    </w:pPr>
    <w:r w:rsidDel="00000000" w:rsidR="00000000" w:rsidRPr="00000000">
      <w:rPr/>
      <w:drawing>
        <wp:inline distB="114300" distT="114300" distL="114300" distR="114300">
          <wp:extent cx="1757363" cy="94627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233" l="0" r="0" t="0"/>
                  <a:stretch>
                    <a:fillRect/>
                  </a:stretch>
                </pic:blipFill>
                <pic:spPr>
                  <a:xfrm>
                    <a:off x="0" y="0"/>
                    <a:ext cx="1757363" cy="94627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ca.practicallaw.thomsonreuters.com/9-562-0967?originationContext=document&amp;transitionType=DocumentItem&amp;contextData=(sc.Default)&amp;ppcid=dbcbd4b909664123ac04c01f026af897" TargetMode="External"/><Relationship Id="rId7" Type="http://schemas.openxmlformats.org/officeDocument/2006/relationships/hyperlink" Target="https://ca.practicallaw.thomsonreuters.com/7-562-4179?originationContext=document&amp;transitionType=DocumentItem&amp;contextData=(sc.Default)&amp;ppcid=dbcbd4b909664123ac04c01f026af897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