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right"/>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Professional Corporation</w:t>
      </w:r>
    </w:p>
    <w:p w:rsidR="00000000" w:rsidDel="00000000" w:rsidP="00000000" w:rsidRDefault="00000000" w:rsidRPr="00000000" w14:paraId="00000002">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Corporate Maintenance - Continuance </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tl w:val="0"/>
        </w:rPr>
      </w:r>
    </w:p>
    <w:p w:rsidR="00000000" w:rsidDel="00000000" w:rsidP="00000000" w:rsidRDefault="00000000" w:rsidRPr="00000000" w14:paraId="0000000B">
      <w:pPr>
        <w:pStyle w:val="Heading2"/>
        <w:rPr/>
      </w:pPr>
      <w:bookmarkStart w:colFirst="0" w:colLast="0" w:name="_hoz4yglujepz" w:id="3"/>
      <w:bookmarkEnd w:id="3"/>
      <w:r w:rsidDel="00000000" w:rsidR="00000000" w:rsidRPr="00000000">
        <w:rPr>
          <w:rtl w:val="0"/>
        </w:rPr>
        <w:t xml:space="preserve">What Is Continuance</w:t>
      </w:r>
    </w:p>
    <w:p w:rsidR="00000000" w:rsidDel="00000000" w:rsidP="00000000" w:rsidRDefault="00000000" w:rsidRPr="00000000" w14:paraId="0000000C">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0D">
      <w:pPr>
        <w:spacing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A legal process used by a corporation to move from one jurisdiction in Canada to another. Upon completion of a continuance, the corporation is no longer governed by the corporate laws of its incorporating jurisdiction (or the jurisdiction from which it moved); it is governed by the corporate laws of the jurisdiction the corporation to which it moved.</w:t>
      </w:r>
    </w:p>
    <w:p w:rsidR="00000000" w:rsidDel="00000000" w:rsidP="00000000" w:rsidRDefault="00000000" w:rsidRPr="00000000" w14:paraId="0000000E">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0F">
      <w:pPr>
        <w:spacing w:before="0" w:lineRule="auto"/>
        <w:rPr/>
      </w:pPr>
      <w:r w:rsidDel="00000000" w:rsidR="00000000" w:rsidRPr="00000000">
        <w:rPr>
          <w:rFonts w:ascii="Arial" w:cs="Arial" w:eastAsia="Arial" w:hAnsi="Arial"/>
          <w:color w:val="3d3d3d"/>
          <w:sz w:val="27"/>
          <w:szCs w:val="27"/>
          <w:rtl w:val="0"/>
        </w:rPr>
        <w:t xml:space="preserve">To complete a continuance, a corporation must fulfil certain steps under the corporate law of the jurisdiction it is leaving and of the jurisdiction to which it is moving. As requirements vary from jurisdiction to jurisdiction, you must carefully review the governing corporate law statute of each jurisdiction. When a corporation continues out of a jurisdiction, it is called an export continuance. When a corporation continues into a new jurisdiction, it is called an import continuance. Generally, a corporation must file </w:t>
      </w:r>
      <w:hyperlink r:id="rId6">
        <w:r w:rsidDel="00000000" w:rsidR="00000000" w:rsidRPr="00000000">
          <w:rPr>
            <w:rFonts w:ascii="Arial" w:cs="Arial" w:eastAsia="Arial" w:hAnsi="Arial"/>
            <w:color w:val="0e568c"/>
            <w:sz w:val="27"/>
            <w:szCs w:val="27"/>
            <w:rtl w:val="0"/>
          </w:rPr>
          <w:t xml:space="preserve">articles of continuance</w:t>
        </w:r>
      </w:hyperlink>
      <w:r w:rsidDel="00000000" w:rsidR="00000000" w:rsidRPr="00000000">
        <w:rPr>
          <w:rFonts w:ascii="Arial" w:cs="Arial" w:eastAsia="Arial" w:hAnsi="Arial"/>
          <w:color w:val="3d3d3d"/>
          <w:sz w:val="27"/>
          <w:szCs w:val="27"/>
          <w:rtl w:val="0"/>
        </w:rPr>
        <w:t xml:space="preserve"> on an import continuance. The most common reason for a corporation to continue to a new jurisdiction is to facilitate an </w:t>
      </w:r>
      <w:hyperlink r:id="rId7">
        <w:r w:rsidDel="00000000" w:rsidR="00000000" w:rsidRPr="00000000">
          <w:rPr>
            <w:rFonts w:ascii="Arial" w:cs="Arial" w:eastAsia="Arial" w:hAnsi="Arial"/>
            <w:color w:val="0e568c"/>
            <w:sz w:val="27"/>
            <w:szCs w:val="27"/>
            <w:rtl w:val="0"/>
          </w:rPr>
          <w:t xml:space="preserve">amalgamation</w:t>
        </w:r>
      </w:hyperlink>
      <w:r w:rsidDel="00000000" w:rsidR="00000000" w:rsidRPr="00000000">
        <w:rPr>
          <w:rFonts w:ascii="Arial" w:cs="Arial" w:eastAsia="Arial" w:hAnsi="Arial"/>
          <w:color w:val="3d3d3d"/>
          <w:sz w:val="27"/>
          <w:szCs w:val="27"/>
          <w:rtl w:val="0"/>
        </w:rPr>
        <w:t xml:space="preserve"> or to avoid an unwanted regulatory burden, such as the requirement under the </w:t>
      </w:r>
      <w:hyperlink r:id="rId8">
        <w:r w:rsidDel="00000000" w:rsidR="00000000" w:rsidRPr="00000000">
          <w:rPr>
            <w:rFonts w:ascii="Arial" w:cs="Arial" w:eastAsia="Arial" w:hAnsi="Arial"/>
            <w:color w:val="0e568c"/>
            <w:sz w:val="27"/>
            <w:szCs w:val="27"/>
            <w:rtl w:val="0"/>
          </w:rPr>
          <w:t xml:space="preserve">Canada Business Corporations Act</w:t>
        </w:r>
      </w:hyperlink>
      <w:r w:rsidDel="00000000" w:rsidR="00000000" w:rsidRPr="00000000">
        <w:rPr>
          <w:rFonts w:ascii="Arial" w:cs="Arial" w:eastAsia="Arial" w:hAnsi="Arial"/>
          <w:color w:val="3d3d3d"/>
          <w:sz w:val="27"/>
          <w:szCs w:val="27"/>
          <w:rtl w:val="0"/>
        </w:rPr>
        <w:t xml:space="preserve"> and the </w:t>
      </w:r>
      <w:hyperlink r:id="rId9">
        <w:r w:rsidDel="00000000" w:rsidR="00000000" w:rsidRPr="00000000">
          <w:rPr>
            <w:rFonts w:ascii="Arial" w:cs="Arial" w:eastAsia="Arial" w:hAnsi="Arial"/>
            <w:color w:val="0e568c"/>
            <w:sz w:val="27"/>
            <w:szCs w:val="27"/>
            <w:rtl w:val="0"/>
          </w:rPr>
          <w:t xml:space="preserve">Ontario Business Corporations Act</w:t>
        </w:r>
      </w:hyperlink>
      <w:r w:rsidDel="00000000" w:rsidR="00000000" w:rsidRPr="00000000">
        <w:rPr>
          <w:rFonts w:ascii="Arial" w:cs="Arial" w:eastAsia="Arial" w:hAnsi="Arial"/>
          <w:color w:val="3d3d3d"/>
          <w:sz w:val="27"/>
          <w:szCs w:val="27"/>
          <w:rtl w:val="0"/>
        </w:rPr>
        <w:t xml:space="preserve"> to have at a board of directors at least 25% of the members of which are resident Canadians.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8v2blpiv7rv2" w:id="4"/>
      <w:bookmarkEnd w:id="4"/>
      <w:r w:rsidDel="00000000" w:rsidR="00000000" w:rsidRPr="00000000">
        <w:rPr>
          <w:rtl w:val="0"/>
        </w:rPr>
        <w:t xml:space="preserve">What do we need to 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Hi [blah]</w:t>
      </w:r>
    </w:p>
    <w:p w:rsidR="00000000" w:rsidDel="00000000" w:rsidP="00000000" w:rsidRDefault="00000000" w:rsidRPr="00000000" w14:paraId="00000016">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17">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proposal is for 6ix Inc to cease being a federal company and to be governed under the Ontario legislation.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highlight w:val="white"/>
          <w:rtl w:val="0"/>
        </w:rPr>
        <w:t xml:space="preserve">It works subject to the name protection point discussed below</w:t>
      </w:r>
      <w:r w:rsidDel="00000000" w:rsidR="00000000" w:rsidRPr="00000000">
        <w:rPr>
          <w:rtl w:val="0"/>
        </w:rPr>
        <w:t xml:space="preserve">. Daniel please let me know if you want to go forward or wish to discuss first.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There are broadly two steps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Continuing out of Canada Business Corporations Act</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Continuing into the Ontario Business Corporations Act</w:t>
      </w:r>
    </w:p>
    <w:p w:rsidR="00000000" w:rsidDel="00000000" w:rsidP="00000000" w:rsidRDefault="00000000" w:rsidRPr="00000000" w14:paraId="0000001F">
      <w:pPr>
        <w:rPr/>
      </w:pPr>
      <w:r w:rsidDel="00000000" w:rsidR="00000000" w:rsidRPr="00000000">
        <w:rPr>
          <w:rtl w:val="0"/>
        </w:rPr>
        <w:t xml:space="preserve">The first step will require a director’s resolution, shareholders approval, and then application to Corporation’s Canada for a Letter of Satisfaction.</w:t>
      </w:r>
    </w:p>
    <w:p w:rsidR="00000000" w:rsidDel="00000000" w:rsidP="00000000" w:rsidRDefault="00000000" w:rsidRPr="00000000" w14:paraId="00000020">
      <w:pPr>
        <w:rPr/>
      </w:pPr>
      <w:r w:rsidDel="00000000" w:rsidR="00000000" w:rsidRPr="00000000">
        <w:rPr>
          <w:rtl w:val="0"/>
        </w:rPr>
        <w:t xml:space="preserve">The second step will require filling Articles of Continuance with Ontario, which will require</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•relevant corporate documents</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•the letter of satisfaction</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 a legal opinion [to confirm]</w:t>
      </w:r>
    </w:p>
    <w:p w:rsidR="00000000" w:rsidDel="00000000" w:rsidP="00000000" w:rsidRDefault="00000000" w:rsidRPr="00000000" w14:paraId="00000024">
      <w:pPr>
        <w:numPr>
          <w:ilvl w:val="0"/>
          <w:numId w:val="3"/>
        </w:numPr>
        <w:spacing w:after="0" w:afterAutospacing="0"/>
        <w:ind w:left="720" w:hanging="360"/>
      </w:pPr>
      <w:r w:rsidDel="00000000" w:rsidR="00000000" w:rsidRPr="00000000">
        <w:rPr>
          <w:rtl w:val="0"/>
        </w:rPr>
        <w:t xml:space="preserve">• a NUANS name search report  </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 </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tl w:val="0"/>
        </w:rPr>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tl w:val="0"/>
        </w:rPr>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tl w:val="0"/>
        </w:rPr>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highlight w:val="white"/>
          <w:rtl w:val="0"/>
        </w:rPr>
        <w:t xml:space="preserve">Name protection point. When 6ix Inc continues out of the federal act it will lose corporate name protection outside of Ontario. Corporate name protection is not as strong as, for instance, a trade mark but it may be worth preserving. After the continuation, we could incorporate "6ix Canada Inc." as a wholly owned subsidiary of 6ix Inc. This hypothetical 6ix Canada Inc would still need a Canadian-resident director. Is name protection relevant now or should we leave it for the future together with a potential conversation about trademarking the name 6ix / 6ix Inc</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280" w:before="0" w:beforeAutospacing="0" w:lineRule="auto"/>
        <w:ind w:left="720" w:hanging="360"/>
        <w:jc w:val="left"/>
        <w:rPr>
          <w:rFonts w:ascii="Verdana" w:cs="Verdana" w:eastAsia="Verdana" w:hAnsi="Verdana"/>
          <w:color w:val="212121"/>
          <w:sz w:val="18"/>
          <w:szCs w:val="18"/>
          <w:u w:val="none"/>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80" w:before="460" w:lineRule="auto"/>
        <w:ind w:left="720" w:firstLine="0"/>
        <w:jc w:val="left"/>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before="460" w:lineRule="auto"/>
        <w:ind w:left="720" w:hanging="360"/>
        <w:jc w:val="left"/>
      </w:pPr>
      <w:r w:rsidDel="00000000" w:rsidR="00000000" w:rsidRPr="00000000">
        <w:rPr>
          <w:rtl w:val="0"/>
        </w:rPr>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tl w:val="0"/>
        </w:rPr>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tl w:val="0"/>
        </w:rPr>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tl w:val="0"/>
        </w:rPr>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tl w:val="0"/>
        </w:rPr>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tl w:val="0"/>
        </w:rPr>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tl w:val="0"/>
        </w:rPr>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tl w:val="0"/>
        </w:rPr>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28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See Names and Filing Regulation, ss. </w:t>
      </w:r>
      <w:hyperlink r:id="rId10">
        <w:r w:rsidDel="00000000" w:rsidR="00000000" w:rsidRPr="00000000">
          <w:rPr>
            <w:rFonts w:ascii="Verdana" w:cs="Verdana" w:eastAsia="Verdana" w:hAnsi="Verdana"/>
            <w:color w:val="006ebb"/>
            <w:sz w:val="18"/>
            <w:szCs w:val="18"/>
            <w:u w:val="single"/>
            <w:rtl w:val="0"/>
          </w:rPr>
          <w:t xml:space="preserve">18</w:t>
        </w:r>
      </w:hyperlink>
      <w:r w:rsidDel="00000000" w:rsidR="00000000" w:rsidRPr="00000000">
        <w:rPr>
          <w:rFonts w:ascii="Verdana" w:cs="Verdana" w:eastAsia="Verdana" w:hAnsi="Verdana"/>
          <w:color w:val="212121"/>
          <w:sz w:val="18"/>
          <w:szCs w:val="18"/>
          <w:rtl w:val="0"/>
        </w:rPr>
        <w:t xml:space="preserve">(1), </w:t>
      </w:r>
      <w:hyperlink r:id="rId11">
        <w:r w:rsidDel="00000000" w:rsidR="00000000" w:rsidRPr="00000000">
          <w:rPr>
            <w:rFonts w:ascii="Verdana" w:cs="Verdana" w:eastAsia="Verdana" w:hAnsi="Verdana"/>
            <w:color w:val="006ebb"/>
            <w:sz w:val="18"/>
            <w:szCs w:val="18"/>
            <w:u w:val="single"/>
            <w:rtl w:val="0"/>
          </w:rPr>
          <w:t xml:space="preserve">20</w:t>
        </w:r>
      </w:hyperlink>
      <w:r w:rsidDel="00000000" w:rsidR="00000000" w:rsidRPr="00000000">
        <w:rPr>
          <w:rFonts w:ascii="Verdana" w:cs="Verdana" w:eastAsia="Verdana" w:hAnsi="Verdana"/>
          <w:color w:val="212121"/>
          <w:sz w:val="18"/>
          <w:szCs w:val="18"/>
          <w:rtl w:val="0"/>
        </w:rPr>
        <w:t xml:space="preserve"> and </w:t>
      </w:r>
      <w:hyperlink r:id="rId12">
        <w:r w:rsidDel="00000000" w:rsidR="00000000" w:rsidRPr="00000000">
          <w:rPr>
            <w:rFonts w:ascii="Verdana" w:cs="Verdana" w:eastAsia="Verdana" w:hAnsi="Verdana"/>
            <w:color w:val="006ebb"/>
            <w:sz w:val="18"/>
            <w:szCs w:val="18"/>
            <w:u w:val="single"/>
            <w:rtl w:val="0"/>
          </w:rPr>
          <w:t xml:space="preserve">26</w:t>
        </w:r>
      </w:hyperlink>
      <w:r w:rsidDel="00000000" w:rsidR="00000000" w:rsidRPr="00000000">
        <w:rPr>
          <w:rFonts w:ascii="Verdana" w:cs="Verdana" w:eastAsia="Verdana" w:hAnsi="Verdana"/>
          <w:color w:val="212121"/>
          <w:sz w:val="18"/>
          <w:szCs w:val="18"/>
          <w:rtl w:val="0"/>
        </w:rPr>
        <w:t xml:space="preserve">; and</w:t>
      </w:r>
      <w:r w:rsidDel="00000000" w:rsidR="00000000" w:rsidRPr="00000000">
        <w:rPr>
          <w:rtl w:val="0"/>
        </w:rPr>
      </w:r>
    </w:p>
    <w:p w:rsidR="00000000" w:rsidDel="00000000" w:rsidP="00000000" w:rsidRDefault="00000000" w:rsidRPr="00000000" w14:paraId="00000035">
      <w:pPr>
        <w:spacing w:before="0" w:lineRule="auto"/>
        <w:rPr>
          <w:rFonts w:ascii="Roboto" w:cs="Roboto" w:eastAsia="Roboto" w:hAnsi="Roboto"/>
          <w:color w:val="242424"/>
          <w:sz w:val="23"/>
          <w:szCs w:val="23"/>
          <w:highlight w:val="white"/>
        </w:rPr>
      </w:pPr>
      <w:r w:rsidDel="00000000" w:rsidR="00000000" w:rsidRPr="00000000">
        <w:rPr>
          <w:rtl w:val="0"/>
        </w:rPr>
      </w:r>
    </w:p>
    <w:p w:rsidR="00000000" w:rsidDel="00000000" w:rsidP="00000000" w:rsidRDefault="00000000" w:rsidRPr="00000000" w14:paraId="00000036">
      <w:pPr>
        <w:spacing w:before="0" w:lineRule="auto"/>
        <w:rPr>
          <w:rFonts w:ascii="Roboto" w:cs="Roboto" w:eastAsia="Roboto" w:hAnsi="Roboto"/>
          <w:color w:val="242424"/>
          <w:sz w:val="23"/>
          <w:szCs w:val="23"/>
          <w:highlight w:val="white"/>
        </w:rPr>
      </w:pPr>
      <w:r w:rsidDel="00000000" w:rsidR="00000000" w:rsidRPr="00000000">
        <w:rPr>
          <w:rtl w:val="0"/>
        </w:rPr>
      </w:r>
    </w:p>
    <w:p w:rsidR="00000000" w:rsidDel="00000000" w:rsidP="00000000" w:rsidRDefault="00000000" w:rsidRPr="00000000" w14:paraId="00000037">
      <w:pPr>
        <w:spacing w:before="0" w:lineRule="auto"/>
        <w:rPr>
          <w:rFonts w:ascii="Roboto" w:cs="Roboto" w:eastAsia="Roboto" w:hAnsi="Roboto"/>
          <w:color w:val="242424"/>
          <w:sz w:val="23"/>
          <w:szCs w:val="23"/>
          <w:highlight w:val="white"/>
        </w:rPr>
      </w:pPr>
      <w:r w:rsidDel="00000000" w:rsidR="00000000" w:rsidRPr="00000000">
        <w:rPr>
          <w:rFonts w:ascii="Arial" w:cs="Arial" w:eastAsia="Arial" w:hAnsi="Arial"/>
          <w:color w:val="333333"/>
          <w:sz w:val="30"/>
          <w:szCs w:val="30"/>
          <w:highlight w:val="white"/>
          <w:rtl w:val="0"/>
        </w:rPr>
        <w:t xml:space="preserve"> Letter of Satisfaction states that Corporations Canada is satisfied that the continuance will not be prejudicial to creditors or shareholders of the corporation.</w:t>
      </w:r>
      <w:r w:rsidDel="00000000" w:rsidR="00000000" w:rsidRPr="00000000">
        <w:rPr>
          <w:rtl w:val="0"/>
        </w:rPr>
      </w:r>
    </w:p>
    <w:p w:rsidR="00000000" w:rsidDel="00000000" w:rsidP="00000000" w:rsidRDefault="00000000" w:rsidRPr="00000000" w14:paraId="00000038">
      <w:pPr>
        <w:spacing w:before="0" w:lineRule="auto"/>
        <w:rPr>
          <w:rFonts w:ascii="Roboto" w:cs="Roboto" w:eastAsia="Roboto" w:hAnsi="Roboto"/>
          <w:color w:val="242424"/>
          <w:sz w:val="23"/>
          <w:szCs w:val="23"/>
          <w:highlight w:val="white"/>
        </w:rPr>
      </w:pPr>
      <w:r w:rsidDel="00000000" w:rsidR="00000000" w:rsidRPr="00000000">
        <w:rPr>
          <w:rtl w:val="0"/>
        </w:rPr>
      </w:r>
    </w:p>
    <w:p w:rsidR="00000000" w:rsidDel="00000000" w:rsidP="00000000" w:rsidRDefault="00000000" w:rsidRPr="00000000" w14:paraId="00000039">
      <w:pPr>
        <w:spacing w:before="0" w:lineRule="auto"/>
        <w:rPr>
          <w:rFonts w:ascii="Roboto" w:cs="Roboto" w:eastAsia="Roboto" w:hAnsi="Roboto"/>
          <w:color w:val="242424"/>
          <w:sz w:val="23"/>
          <w:szCs w:val="23"/>
          <w:highlight w:val="white"/>
        </w:rPr>
      </w:pPr>
      <w:r w:rsidDel="00000000" w:rsidR="00000000" w:rsidRPr="00000000">
        <w:rPr>
          <w:rtl w:val="0"/>
        </w:rPr>
      </w:r>
    </w:p>
    <w:p w:rsidR="00000000" w:rsidDel="00000000" w:rsidP="00000000" w:rsidRDefault="00000000" w:rsidRPr="00000000" w14:paraId="0000003A">
      <w:pPr>
        <w:spacing w:before="0" w:lineRule="auto"/>
        <w:rPr>
          <w:rFonts w:ascii="Roboto" w:cs="Roboto" w:eastAsia="Roboto" w:hAnsi="Roboto"/>
          <w:color w:val="242424"/>
          <w:sz w:val="23"/>
          <w:szCs w:val="23"/>
          <w:highlight w:val="white"/>
        </w:rPr>
      </w:pPr>
      <w:r w:rsidDel="00000000" w:rsidR="00000000" w:rsidRPr="00000000">
        <w:rPr>
          <w:rtl w:val="0"/>
        </w:rPr>
      </w:r>
    </w:p>
    <w:p w:rsidR="00000000" w:rsidDel="00000000" w:rsidP="00000000" w:rsidRDefault="00000000" w:rsidRPr="00000000" w14:paraId="0000003B">
      <w:pPr>
        <w:numPr>
          <w:ilvl w:val="0"/>
          <w:numId w:val="1"/>
        </w:numPr>
        <w:spacing w:before="0" w:lineRule="auto"/>
        <w:ind w:left="720" w:hanging="360"/>
        <w:jc w:val="left"/>
        <w:rPr>
          <w:highlight w:val="white"/>
        </w:rPr>
      </w:pPr>
      <w:hyperlink r:id="rId13">
        <w:r w:rsidDel="00000000" w:rsidR="00000000" w:rsidRPr="00000000">
          <w:rPr>
            <w:rFonts w:ascii="Arial" w:cs="Arial" w:eastAsia="Arial" w:hAnsi="Arial"/>
            <w:color w:val="7834bc"/>
            <w:sz w:val="30"/>
            <w:szCs w:val="30"/>
            <w:highlight w:val="white"/>
            <w:u w:val="single"/>
            <w:rtl w:val="0"/>
          </w:rPr>
          <w:t xml:space="preserve">Step 1 – Obtain shareholders' approval of the continuance </w:t>
        </w:r>
      </w:hyperlink>
      <w:r w:rsidDel="00000000" w:rsidR="00000000" w:rsidRPr="00000000">
        <w:rPr>
          <w:rtl w:val="0"/>
        </w:rPr>
      </w:r>
    </w:p>
    <w:p w:rsidR="00000000" w:rsidDel="00000000" w:rsidP="00000000" w:rsidRDefault="00000000" w:rsidRPr="00000000" w14:paraId="0000003C">
      <w:pPr>
        <w:numPr>
          <w:ilvl w:val="0"/>
          <w:numId w:val="1"/>
        </w:numPr>
        <w:spacing w:before="0" w:lineRule="auto"/>
        <w:ind w:left="720" w:hanging="360"/>
        <w:jc w:val="left"/>
        <w:rPr>
          <w:highlight w:val="white"/>
        </w:rPr>
      </w:pPr>
      <w:hyperlink r:id="rId14">
        <w:r w:rsidDel="00000000" w:rsidR="00000000" w:rsidRPr="00000000">
          <w:rPr>
            <w:rFonts w:ascii="Arial" w:cs="Arial" w:eastAsia="Arial" w:hAnsi="Arial"/>
            <w:color w:val="7834bc"/>
            <w:sz w:val="30"/>
            <w:szCs w:val="30"/>
            <w:highlight w:val="white"/>
            <w:u w:val="single"/>
            <w:rtl w:val="0"/>
          </w:rPr>
          <w:t xml:space="preserve">Step 2 – Apply for a Letter of Satisfaction </w:t>
        </w:r>
      </w:hyperlink>
      <w:r w:rsidDel="00000000" w:rsidR="00000000" w:rsidRPr="00000000">
        <w:rPr>
          <w:rtl w:val="0"/>
        </w:rPr>
      </w:r>
    </w:p>
    <w:p w:rsidR="00000000" w:rsidDel="00000000" w:rsidP="00000000" w:rsidRDefault="00000000" w:rsidRPr="00000000" w14:paraId="0000003D">
      <w:pPr>
        <w:numPr>
          <w:ilvl w:val="0"/>
          <w:numId w:val="1"/>
        </w:numPr>
        <w:spacing w:before="0" w:lineRule="auto"/>
        <w:ind w:left="720" w:hanging="360"/>
        <w:jc w:val="left"/>
        <w:rPr>
          <w:highlight w:val="white"/>
        </w:rPr>
      </w:pPr>
      <w:hyperlink r:id="rId15">
        <w:r w:rsidDel="00000000" w:rsidR="00000000" w:rsidRPr="00000000">
          <w:rPr>
            <w:rFonts w:ascii="Arial" w:cs="Arial" w:eastAsia="Arial" w:hAnsi="Arial"/>
            <w:color w:val="7834bc"/>
            <w:sz w:val="30"/>
            <w:szCs w:val="30"/>
            <w:highlight w:val="white"/>
            <w:u w:val="single"/>
            <w:rtl w:val="0"/>
          </w:rPr>
          <w:t xml:space="preserve">Step 3 – Send the Letter of Satisfaction to the organization that administers the importing legislation </w:t>
        </w:r>
      </w:hyperlink>
      <w:r w:rsidDel="00000000" w:rsidR="00000000" w:rsidRPr="00000000">
        <w:rPr>
          <w:rtl w:val="0"/>
        </w:rPr>
      </w:r>
    </w:p>
    <w:p w:rsidR="00000000" w:rsidDel="00000000" w:rsidP="00000000" w:rsidRDefault="00000000" w:rsidRPr="00000000" w14:paraId="0000003E">
      <w:pPr>
        <w:numPr>
          <w:ilvl w:val="0"/>
          <w:numId w:val="1"/>
        </w:numPr>
        <w:spacing w:before="0" w:lineRule="auto"/>
        <w:ind w:left="720" w:hanging="360"/>
        <w:jc w:val="left"/>
        <w:rPr>
          <w:highlight w:val="white"/>
        </w:rPr>
      </w:pPr>
      <w:hyperlink r:id="rId16">
        <w:r w:rsidDel="00000000" w:rsidR="00000000" w:rsidRPr="00000000">
          <w:rPr>
            <w:rFonts w:ascii="Arial" w:cs="Arial" w:eastAsia="Arial" w:hAnsi="Arial"/>
            <w:color w:val="7834bc"/>
            <w:sz w:val="30"/>
            <w:szCs w:val="30"/>
            <w:highlight w:val="white"/>
            <w:u w:val="single"/>
            <w:rtl w:val="0"/>
          </w:rPr>
          <w:t xml:space="preserve">Step 4 – Send the document issued by the organization that administers the importing legislation to Corporations Canada</w:t>
        </w:r>
      </w:hyperlink>
      <w:r w:rsidDel="00000000" w:rsidR="00000000" w:rsidRPr="00000000">
        <w:rPr>
          <w:rtl w:val="0"/>
        </w:rPr>
      </w:r>
    </w:p>
    <w:p w:rsidR="00000000" w:rsidDel="00000000" w:rsidP="00000000" w:rsidRDefault="00000000" w:rsidRPr="00000000" w14:paraId="0000003F">
      <w:pPr>
        <w:spacing w:before="0" w:lineRule="auto"/>
        <w:rPr>
          <w:rFonts w:ascii="Roboto" w:cs="Roboto" w:eastAsia="Roboto" w:hAnsi="Roboto"/>
          <w:color w:val="242424"/>
          <w:sz w:val="23"/>
          <w:szCs w:val="23"/>
          <w:highlight w:val="white"/>
        </w:rPr>
      </w:pPr>
      <w:r w:rsidDel="00000000" w:rsidR="00000000" w:rsidRPr="00000000">
        <w:rPr>
          <w:rtl w:val="0"/>
        </w:rPr>
      </w:r>
    </w:p>
    <w:p w:rsidR="00000000" w:rsidDel="00000000" w:rsidP="00000000" w:rsidRDefault="00000000" w:rsidRPr="00000000" w14:paraId="00000040">
      <w:pPr>
        <w:spacing w:before="0" w:lineRule="auto"/>
        <w:rPr>
          <w:rFonts w:ascii="Roboto" w:cs="Roboto" w:eastAsia="Roboto" w:hAnsi="Roboto"/>
          <w:color w:val="242424"/>
          <w:sz w:val="23"/>
          <w:szCs w:val="23"/>
          <w:highlight w:val="white"/>
        </w:rPr>
      </w:pPr>
      <w:r w:rsidDel="00000000" w:rsidR="00000000" w:rsidRPr="00000000">
        <w:rPr>
          <w:rtl w:val="0"/>
        </w:rPr>
      </w:r>
    </w:p>
    <w:p w:rsidR="00000000" w:rsidDel="00000000" w:rsidP="00000000" w:rsidRDefault="00000000" w:rsidRPr="00000000" w14:paraId="00000041">
      <w:pPr>
        <w:spacing w:before="0" w:lineRule="auto"/>
        <w:rPr>
          <w:rFonts w:ascii="Roboto" w:cs="Roboto" w:eastAsia="Roboto" w:hAnsi="Roboto"/>
          <w:color w:val="242424"/>
          <w:sz w:val="23"/>
          <w:szCs w:val="23"/>
          <w:highlight w:val="white"/>
        </w:rPr>
      </w:pPr>
      <w:r w:rsidDel="00000000" w:rsidR="00000000" w:rsidRPr="00000000">
        <w:rPr>
          <w:rtl w:val="0"/>
        </w:rPr>
      </w:r>
    </w:p>
    <w:p w:rsidR="00000000" w:rsidDel="00000000" w:rsidP="00000000" w:rsidRDefault="00000000" w:rsidRPr="00000000" w14:paraId="00000042">
      <w:pPr>
        <w:spacing w:before="0" w:lineRule="auto"/>
        <w:rPr>
          <w:rFonts w:ascii="Roboto" w:cs="Roboto" w:eastAsia="Roboto" w:hAnsi="Roboto"/>
          <w:color w:val="242424"/>
          <w:sz w:val="23"/>
          <w:szCs w:val="23"/>
          <w:highlight w:val="white"/>
        </w:rPr>
      </w:pPr>
      <w:r w:rsidDel="00000000" w:rsidR="00000000" w:rsidRPr="00000000">
        <w:rPr>
          <w:rFonts w:ascii="Roboto" w:cs="Roboto" w:eastAsia="Roboto" w:hAnsi="Roboto"/>
          <w:color w:val="242424"/>
          <w:sz w:val="23"/>
          <w:szCs w:val="23"/>
          <w:highlight w:val="white"/>
          <w:rtl w:val="0"/>
        </w:rPr>
        <w:t xml:space="preserve">Does this solution work Matthew, and if so, how do we implement it? </w:t>
      </w:r>
    </w:p>
    <w:p w:rsidR="00000000" w:rsidDel="00000000" w:rsidP="00000000" w:rsidRDefault="00000000" w:rsidRPr="00000000" w14:paraId="00000043">
      <w:pPr>
        <w:shd w:fill="ffffff" w:val="clear"/>
        <w:spacing w:before="0" w:lineRule="auto"/>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44">
      <w:pPr>
        <w:shd w:fill="ffffff" w:val="clear"/>
        <w:spacing w:before="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w:t>
      </w:r>
    </w:p>
    <w:p w:rsidR="00000000" w:rsidDel="00000000" w:rsidP="00000000" w:rsidRDefault="00000000" w:rsidRPr="00000000" w14:paraId="00000045">
      <w:pPr>
        <w:shd w:fill="ffffff" w:val="clear"/>
        <w:spacing w:before="0" w:lineRule="auto"/>
        <w:rPr>
          <w:rFonts w:ascii="Roboto" w:cs="Roboto" w:eastAsia="Roboto" w:hAnsi="Roboto"/>
          <w:color w:val="242424"/>
          <w:sz w:val="23"/>
          <w:szCs w:val="23"/>
        </w:rPr>
      </w:pPr>
      <w:r w:rsidDel="00000000" w:rsidR="00000000" w:rsidRPr="00000000">
        <w:rPr>
          <w:rtl w:val="0"/>
        </w:rPr>
      </w:r>
    </w:p>
    <w:p w:rsidR="00000000" w:rsidDel="00000000" w:rsidP="00000000" w:rsidRDefault="00000000" w:rsidRPr="00000000" w14:paraId="00000046">
      <w:pPr>
        <w:shd w:fill="ffffff" w:val="clear"/>
        <w:spacing w:before="0" w:lineRule="auto"/>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Effective date Jan 01, 2024 </w:t>
      </w:r>
    </w:p>
    <w:p w:rsidR="00000000" w:rsidDel="00000000" w:rsidP="00000000" w:rsidRDefault="00000000" w:rsidRPr="00000000" w14:paraId="00000047">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48">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49">
      <w:pPr>
        <w:spacing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Continuation from the CBCA to the OBCA is a legal process requiring relevant resolutions and consents from the relevant corporate registries.</w:t>
      </w:r>
    </w:p>
    <w:p w:rsidR="00000000" w:rsidDel="00000000" w:rsidP="00000000" w:rsidRDefault="00000000" w:rsidRPr="00000000" w14:paraId="0000004A">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4B">
      <w:pPr>
        <w:spacing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 </w:t>
      </w:r>
    </w:p>
    <w:p w:rsidR="00000000" w:rsidDel="00000000" w:rsidP="00000000" w:rsidRDefault="00000000" w:rsidRPr="00000000" w14:paraId="0000004C">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4D">
      <w:pPr>
        <w:spacing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To complete a continuance, a corporation must fulfil certain steps under the corporate law of the jurisdiction it is leaving and of the jurisdiction to which it is moving. requirements vary from jurisdiction to jurisdiction,. When a corporation continues out of a jurisdiction, it is called an export continuance. </w:t>
      </w:r>
    </w:p>
    <w:p w:rsidR="00000000" w:rsidDel="00000000" w:rsidP="00000000" w:rsidRDefault="00000000" w:rsidRPr="00000000" w14:paraId="0000004E">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4F">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50">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51">
      <w:pPr>
        <w:spacing w:before="0" w:lineRule="auto"/>
        <w:rPr/>
      </w:pPr>
      <w:r w:rsidDel="00000000" w:rsidR="00000000" w:rsidRPr="00000000">
        <w:rPr>
          <w:rFonts w:ascii="Arial" w:cs="Arial" w:eastAsia="Arial" w:hAnsi="Arial"/>
          <w:color w:val="3d3d3d"/>
          <w:sz w:val="27"/>
          <w:szCs w:val="27"/>
          <w:rtl w:val="0"/>
        </w:rPr>
        <w:t xml:space="preserve">When a corporation continues into a new jurisdiction, it is called an import continuance. Generally, a corporation must file </w:t>
      </w:r>
      <w:hyperlink r:id="rId17">
        <w:r w:rsidDel="00000000" w:rsidR="00000000" w:rsidRPr="00000000">
          <w:rPr>
            <w:rFonts w:ascii="Arial" w:cs="Arial" w:eastAsia="Arial" w:hAnsi="Arial"/>
            <w:color w:val="0e568c"/>
            <w:sz w:val="27"/>
            <w:szCs w:val="27"/>
            <w:rtl w:val="0"/>
          </w:rPr>
          <w:t xml:space="preserve">articles of continuance</w:t>
        </w:r>
      </w:hyperlink>
      <w:r w:rsidDel="00000000" w:rsidR="00000000" w:rsidRPr="00000000">
        <w:rPr>
          <w:rFonts w:ascii="Arial" w:cs="Arial" w:eastAsia="Arial" w:hAnsi="Arial"/>
          <w:color w:val="3d3d3d"/>
          <w:sz w:val="27"/>
          <w:szCs w:val="27"/>
          <w:rtl w:val="0"/>
        </w:rPr>
        <w:t xml:space="preserve"> on an import continuance. The most common reason for a corporation to continue to a new jurisdiction is to facilitate an </w:t>
      </w:r>
      <w:hyperlink r:id="rId18">
        <w:r w:rsidDel="00000000" w:rsidR="00000000" w:rsidRPr="00000000">
          <w:rPr>
            <w:rFonts w:ascii="Arial" w:cs="Arial" w:eastAsia="Arial" w:hAnsi="Arial"/>
            <w:color w:val="0e568c"/>
            <w:sz w:val="27"/>
            <w:szCs w:val="27"/>
            <w:rtl w:val="0"/>
          </w:rPr>
          <w:t xml:space="preserve">amalgamation</w:t>
        </w:r>
      </w:hyperlink>
      <w:r w:rsidDel="00000000" w:rsidR="00000000" w:rsidRPr="00000000">
        <w:rPr>
          <w:rFonts w:ascii="Arial" w:cs="Arial" w:eastAsia="Arial" w:hAnsi="Arial"/>
          <w:color w:val="3d3d3d"/>
          <w:sz w:val="27"/>
          <w:szCs w:val="27"/>
          <w:rtl w:val="0"/>
        </w:rPr>
        <w:t xml:space="preserve"> or to avoid an unwanted regulatory burden, such as the requirement under the </w:t>
      </w:r>
      <w:hyperlink r:id="rId19">
        <w:r w:rsidDel="00000000" w:rsidR="00000000" w:rsidRPr="00000000">
          <w:rPr>
            <w:rFonts w:ascii="Arial" w:cs="Arial" w:eastAsia="Arial" w:hAnsi="Arial"/>
            <w:color w:val="0e568c"/>
            <w:sz w:val="27"/>
            <w:szCs w:val="27"/>
            <w:rtl w:val="0"/>
          </w:rPr>
          <w:t xml:space="preserve">Canada Business Corporations Act</w:t>
        </w:r>
      </w:hyperlink>
      <w:r w:rsidDel="00000000" w:rsidR="00000000" w:rsidRPr="00000000">
        <w:rPr>
          <w:rFonts w:ascii="Arial" w:cs="Arial" w:eastAsia="Arial" w:hAnsi="Arial"/>
          <w:color w:val="3d3d3d"/>
          <w:sz w:val="27"/>
          <w:szCs w:val="27"/>
          <w:rtl w:val="0"/>
        </w:rPr>
        <w:t xml:space="preserve"> and the </w:t>
      </w:r>
      <w:hyperlink r:id="rId20">
        <w:r w:rsidDel="00000000" w:rsidR="00000000" w:rsidRPr="00000000">
          <w:rPr>
            <w:rFonts w:ascii="Arial" w:cs="Arial" w:eastAsia="Arial" w:hAnsi="Arial"/>
            <w:color w:val="0e568c"/>
            <w:sz w:val="27"/>
            <w:szCs w:val="27"/>
            <w:rtl w:val="0"/>
          </w:rPr>
          <w:t xml:space="preserve">Ontario Business Corporations Act</w:t>
        </w:r>
      </w:hyperlink>
      <w:r w:rsidDel="00000000" w:rsidR="00000000" w:rsidRPr="00000000">
        <w:rPr>
          <w:rFonts w:ascii="Arial" w:cs="Arial" w:eastAsia="Arial" w:hAnsi="Arial"/>
          <w:color w:val="3d3d3d"/>
          <w:sz w:val="27"/>
          <w:szCs w:val="27"/>
          <w:rtl w:val="0"/>
        </w:rPr>
        <w:t xml:space="preserve"> to have at a board of directors at least 25% of the members of which are resident Canadians. </w:t>
      </w:r>
      <w:r w:rsidDel="00000000" w:rsidR="00000000" w:rsidRPr="00000000">
        <w:rPr>
          <w:rtl w:val="0"/>
        </w:rPr>
      </w:r>
    </w:p>
    <w:p w:rsidR="00000000" w:rsidDel="00000000" w:rsidP="00000000" w:rsidRDefault="00000000" w:rsidRPr="00000000" w14:paraId="00000052">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53">
      <w:pPr>
        <w:spacing w:before="0" w:lineRule="auto"/>
        <w:rPr>
          <w:rFonts w:ascii="Arial" w:cs="Arial" w:eastAsia="Arial" w:hAnsi="Arial"/>
          <w:color w:val="3d3d3d"/>
          <w:sz w:val="27"/>
          <w:szCs w:val="27"/>
        </w:rPr>
      </w:pPr>
      <w:r w:rsidDel="00000000" w:rsidR="00000000" w:rsidRPr="00000000">
        <w:rPr>
          <w:rFonts w:ascii="Arial" w:cs="Arial" w:eastAsia="Arial" w:hAnsi="Arial"/>
          <w:color w:val="3d3d3d"/>
          <w:sz w:val="27"/>
          <w:szCs w:val="27"/>
          <w:rtl w:val="0"/>
        </w:rPr>
        <w:t xml:space="preserve">A legal process used by a corporation to move from one jurisdiction in Canada to another. Upon completion of a continuance, the corporation is no longer governed by the corporate laws of its incorporating jurisdiction (or the jurisdiction from which it moved); it is governed by the corporate laws of the jurisdiction the corporation to which it moved.</w:t>
      </w:r>
    </w:p>
    <w:p w:rsidR="00000000" w:rsidDel="00000000" w:rsidP="00000000" w:rsidRDefault="00000000" w:rsidRPr="00000000" w14:paraId="00000054">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55">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56">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57">
      <w:pPr>
        <w:spacing w:before="0" w:lineRule="auto"/>
        <w:rPr>
          <w:rFonts w:ascii="Arial" w:cs="Arial" w:eastAsia="Arial" w:hAnsi="Arial"/>
          <w:color w:val="3d3d3d"/>
          <w:sz w:val="27"/>
          <w:szCs w:val="27"/>
        </w:rPr>
      </w:pPr>
      <w:r w:rsidDel="00000000" w:rsidR="00000000" w:rsidRPr="00000000">
        <w:rPr>
          <w:rtl w:val="0"/>
        </w:rPr>
      </w:r>
    </w:p>
    <w:p w:rsidR="00000000" w:rsidDel="00000000" w:rsidP="00000000" w:rsidRDefault="00000000" w:rsidRPr="00000000" w14:paraId="00000058">
      <w:pPr>
        <w:pStyle w:val="Heading1"/>
        <w:spacing w:before="0" w:lineRule="auto"/>
        <w:rPr/>
      </w:pPr>
      <w:bookmarkStart w:colFirst="0" w:colLast="0" w:name="_f80dymwcn8pg" w:id="5"/>
      <w:bookmarkEnd w:id="5"/>
      <w:r w:rsidDel="00000000" w:rsidR="00000000" w:rsidRPr="00000000">
        <w:rPr>
          <w:rtl w:val="0"/>
        </w:rPr>
        <w:t xml:space="preserve">O</w:t>
      </w:r>
      <w:r w:rsidDel="00000000" w:rsidR="00000000" w:rsidRPr="00000000">
        <w:rPr>
          <w:rtl w:val="0"/>
        </w:rPr>
        <w:t xml:space="preserve">ntario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When a corporation continues into a new jurisdiction, it is called an import continuance. Generally, a corporation must file </w:t>
      </w:r>
      <w:hyperlink r:id="rId21">
        <w:r w:rsidDel="00000000" w:rsidR="00000000" w:rsidRPr="00000000">
          <w:rPr>
            <w:color w:val="1155cc"/>
            <w:u w:val="single"/>
            <w:rtl w:val="0"/>
          </w:rPr>
          <w:t xml:space="preserve">articles of continuance</w:t>
        </w:r>
      </w:hyperlink>
      <w:r w:rsidDel="00000000" w:rsidR="00000000" w:rsidRPr="00000000">
        <w:rPr>
          <w:rtl w:val="0"/>
        </w:rPr>
        <w:t xml:space="preserve"> on an import continuance.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i w:val="1"/>
          <w:iCs w:val="1"/>
          <w:color w:val="212121"/>
          <w:sz w:val="18"/>
          <w:szCs w:val="18"/>
        </w:rPr>
      </w:pPr>
      <w:r w:rsidDel="00000000" w:rsidR="00000000" w:rsidRPr="00000000">
        <w:rPr>
          <w:rFonts w:ascii="Verdana" w:cs="Verdana" w:eastAsia="Verdana" w:hAnsi="Verdana"/>
          <w:i w:val="1"/>
          <w:iCs w:val="1"/>
          <w:color w:val="212121"/>
          <w:sz w:val="18"/>
          <w:szCs w:val="18"/>
          <w:rtl w:val="0"/>
        </w:rPr>
        <w:t xml:space="preserve">Procedure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import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shareholder ratification is normally required. If the articles of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amend the original corporate articles, the rules governing alterations to the corporate articles in the jurisdiction of origin must be respected.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Also, for certain amendments the OBCA specifically requires compliance with the Ontario rules (OBCA, s. </w:t>
      </w:r>
      <w:hyperlink r:id="rId22">
        <w:r w:rsidDel="00000000" w:rsidR="00000000" w:rsidRPr="00000000">
          <w:rPr>
            <w:rFonts w:ascii="Verdana" w:cs="Verdana" w:eastAsia="Verdana" w:hAnsi="Verdana"/>
            <w:color w:val="006ebb"/>
            <w:sz w:val="18"/>
            <w:szCs w:val="18"/>
            <w:u w:val="single"/>
            <w:rtl w:val="0"/>
          </w:rPr>
          <w:t xml:space="preserve">180</w:t>
        </w:r>
      </w:hyperlink>
      <w:r w:rsidDel="00000000" w:rsidR="00000000" w:rsidRPr="00000000">
        <w:rPr>
          <w:rFonts w:ascii="Verdana" w:cs="Verdana" w:eastAsia="Verdana" w:hAnsi="Verdana"/>
          <w:color w:val="212121"/>
          <w:sz w:val="18"/>
          <w:szCs w:val="18"/>
          <w:rtl w:val="0"/>
        </w:rPr>
        <w:t xml:space="preserve">(3)). Furthermore, before the articles of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can be submitted, the corporation must have taken the steps necessary under the laws of the exporting jurisdiction to authorize it to apply for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in Ontario (OBCA, s. </w:t>
      </w:r>
      <w:hyperlink r:id="rId23">
        <w:r w:rsidDel="00000000" w:rsidR="00000000" w:rsidRPr="00000000">
          <w:rPr>
            <w:rFonts w:ascii="Verdana" w:cs="Verdana" w:eastAsia="Verdana" w:hAnsi="Verdana"/>
            <w:color w:val="006ebb"/>
            <w:sz w:val="18"/>
            <w:szCs w:val="18"/>
            <w:u w:val="single"/>
            <w:rtl w:val="0"/>
          </w:rPr>
          <w:t xml:space="preserve">180</w:t>
        </w:r>
      </w:hyperlink>
      <w:r w:rsidDel="00000000" w:rsidR="00000000" w:rsidRPr="00000000">
        <w:rPr>
          <w:rFonts w:ascii="Verdana" w:cs="Verdana" w:eastAsia="Verdana" w:hAnsi="Verdana"/>
          <w:color w:val="212121"/>
          <w:sz w:val="18"/>
          <w:szCs w:val="18"/>
          <w:rtl w:val="0"/>
        </w:rPr>
        <w:t xml:space="preserve">(1)).</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i w:val="1"/>
          <w:iCs w:val="1"/>
          <w:color w:val="212121"/>
          <w:sz w:val="18"/>
          <w:szCs w:val="18"/>
        </w:rPr>
      </w:pPr>
      <w:r w:rsidDel="00000000" w:rsidR="00000000" w:rsidRPr="00000000">
        <w:rPr>
          <w:rFonts w:ascii="Verdana" w:cs="Verdana" w:eastAsia="Verdana" w:hAnsi="Verdana"/>
          <w:i w:val="1"/>
          <w:iCs w:val="1"/>
          <w:color w:val="212121"/>
          <w:sz w:val="18"/>
          <w:szCs w:val="18"/>
          <w:rtl w:val="0"/>
        </w:rPr>
        <w:t xml:space="preserve">Application to Director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Under the OBCA, a body corporate incorporated or continued under the laws of a jurisdiction other than Ontario must apply to the Director for a certificate of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by filing </w:t>
      </w:r>
      <w:hyperlink r:id="rId24">
        <w:r w:rsidDel="00000000" w:rsidR="00000000" w:rsidRPr="00000000">
          <w:rPr>
            <w:rFonts w:ascii="Verdana" w:cs="Verdana" w:eastAsia="Verdana" w:hAnsi="Verdana"/>
            <w:color w:val="006ebb"/>
            <w:sz w:val="18"/>
            <w:szCs w:val="18"/>
            <w:u w:val="single"/>
            <w:rtl w:val="0"/>
          </w:rPr>
          <w:t xml:space="preserve">Articles of </w:t>
        </w:r>
      </w:hyperlink>
      <w:hyperlink r:id="rId25">
        <w:r w:rsidDel="00000000" w:rsidR="00000000" w:rsidRPr="00000000">
          <w:rPr>
            <w:rFonts w:ascii="Verdana" w:cs="Verdana" w:eastAsia="Verdana" w:hAnsi="Verdana"/>
            <w:b w:val="1"/>
            <w:bCs w:val="1"/>
            <w:color w:val="006ebb"/>
            <w:sz w:val="18"/>
            <w:szCs w:val="18"/>
            <w:u w:val="single"/>
            <w:shd w:fill="fff099" w:val="clear"/>
            <w:rtl w:val="0"/>
          </w:rPr>
          <w:t xml:space="preserve">Continuance</w:t>
        </w:r>
      </w:hyperlink>
      <w:hyperlink r:id="rId26">
        <w:r w:rsidDel="00000000" w:rsidR="00000000" w:rsidRPr="00000000">
          <w:rPr>
            <w:rFonts w:ascii="Verdana" w:cs="Verdana" w:eastAsia="Verdana" w:hAnsi="Verdana"/>
            <w:color w:val="006ebb"/>
            <w:sz w:val="18"/>
            <w:szCs w:val="18"/>
            <w:u w:val="single"/>
            <w:rtl w:val="0"/>
          </w:rPr>
          <w:t xml:space="preserve"> (Form 5264E) (OBCA)</w:t>
        </w:r>
      </w:hyperlink>
      <w:r w:rsidDel="00000000" w:rsidR="00000000" w:rsidRPr="00000000">
        <w:rPr>
          <w:rFonts w:ascii="Verdana" w:cs="Verdana" w:eastAsia="Verdana" w:hAnsi="Verdana"/>
          <w:color w:val="212121"/>
          <w:sz w:val="18"/>
          <w:szCs w:val="18"/>
          <w:rtl w:val="0"/>
        </w:rPr>
        <w:t xml:space="preserve"> and any other required documents and information. Upon receipt of the article of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and any other required documents and information, the Director may endorse the articles with a certificate which shall constitute the certificate of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The Director may notify the appropriate official or public body in the original jurisdiction, that the certificate of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has been issued (OBCA, s. </w:t>
      </w:r>
      <w:hyperlink r:id="rId27">
        <w:r w:rsidDel="00000000" w:rsidR="00000000" w:rsidRPr="00000000">
          <w:rPr>
            <w:rFonts w:ascii="Verdana" w:cs="Verdana" w:eastAsia="Verdana" w:hAnsi="Verdana"/>
            <w:color w:val="006ebb"/>
            <w:sz w:val="18"/>
            <w:szCs w:val="18"/>
            <w:u w:val="single"/>
            <w:rtl w:val="0"/>
          </w:rPr>
          <w:t xml:space="preserve">180</w:t>
        </w:r>
      </w:hyperlink>
      <w:r w:rsidDel="00000000" w:rsidR="00000000" w:rsidRPr="00000000">
        <w:rPr>
          <w:rFonts w:ascii="Verdana" w:cs="Verdana" w:eastAsia="Verdana" w:hAnsi="Verdana"/>
          <w:color w:val="212121"/>
          <w:sz w:val="18"/>
          <w:szCs w:val="18"/>
          <w:rtl w:val="0"/>
        </w:rPr>
        <w:t xml:space="preserve">(1), (2), (4) and (6)).</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articles of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must be submitted with the following::</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0" w:afterAutospacing="0" w:before="280" w:lineRule="auto"/>
        <w:ind w:left="720" w:hanging="360"/>
        <w:jc w:val="left"/>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a copy of the incorporating document, together with all amendments made, certified by an appropriate officer of the incorporating jurisdiction;</w:t>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a letter of satisfaction, certificate of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or other document issued by the proper officer of the incorporating jurisdiction that indicates that the body corporate is authorized under the laws of that jurisdiction to apply for articles of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unless there is no authority under the laws of the incorporating jurisdiction to issue such a document, as supported by a legal opinion;</w:t>
      </w:r>
    </w:p>
    <w:p w:rsidR="00000000" w:rsidDel="00000000" w:rsidP="00000000" w:rsidRDefault="00000000" w:rsidRPr="00000000" w14:paraId="0000006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a legal opinion to the effect that the laws of the jurisdiction to which the corporation is subject, authorize the corporation to apply for </w:t>
      </w:r>
      <w:r w:rsidDel="00000000" w:rsidR="00000000" w:rsidRPr="00000000">
        <w:rPr>
          <w:rFonts w:ascii="Verdana" w:cs="Verdana" w:eastAsia="Verdana" w:hAnsi="Verdana"/>
          <w:b w:val="1"/>
          <w:bCs w:val="1"/>
          <w:color w:val="212121"/>
          <w:sz w:val="18"/>
          <w:szCs w:val="18"/>
          <w:shd w:fill="fff099" w:val="clear"/>
          <w:rtl w:val="0"/>
        </w:rPr>
        <w:t xml:space="preserve">continuance</w:t>
      </w:r>
      <w:r w:rsidDel="00000000" w:rsidR="00000000" w:rsidRPr="00000000">
        <w:rPr>
          <w:rFonts w:ascii="Verdana" w:cs="Verdana" w:eastAsia="Verdana" w:hAnsi="Verdana"/>
          <w:color w:val="212121"/>
          <w:sz w:val="18"/>
          <w:szCs w:val="18"/>
          <w:rtl w:val="0"/>
        </w:rPr>
        <w:t xml:space="preserve">, if the body corporate is incorporated outside of Canada; and</w:t>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the reference number for a NUANS name search report as well as the date of the report and name searched (not required if continuing as a number company);</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after="280" w:before="0" w:beforeAutospacing="0" w:lineRule="auto"/>
        <w:ind w:left="720" w:hanging="360"/>
        <w:jc w:val="left"/>
      </w:pPr>
      <w:r w:rsidDel="00000000" w:rsidR="00000000" w:rsidRPr="00000000">
        <w:rPr>
          <w:rFonts w:ascii="Verdana" w:cs="Verdana" w:eastAsia="Verdana" w:hAnsi="Verdana"/>
          <w:color w:val="212121"/>
          <w:sz w:val="18"/>
          <w:szCs w:val="18"/>
          <w:rtl w:val="0"/>
        </w:rPr>
        <w:t xml:space="preserve">fee of $330. See Names and Filing Regulation, ss. </w:t>
      </w:r>
      <w:hyperlink r:id="rId28">
        <w:r w:rsidDel="00000000" w:rsidR="00000000" w:rsidRPr="00000000">
          <w:rPr>
            <w:rFonts w:ascii="Verdana" w:cs="Verdana" w:eastAsia="Verdana" w:hAnsi="Verdana"/>
            <w:color w:val="006ebb"/>
            <w:sz w:val="18"/>
            <w:szCs w:val="18"/>
            <w:u w:val="single"/>
            <w:rtl w:val="0"/>
          </w:rPr>
          <w:t xml:space="preserve">18</w:t>
        </w:r>
      </w:hyperlink>
      <w:r w:rsidDel="00000000" w:rsidR="00000000" w:rsidRPr="00000000">
        <w:rPr>
          <w:rFonts w:ascii="Verdana" w:cs="Verdana" w:eastAsia="Verdana" w:hAnsi="Verdana"/>
          <w:color w:val="212121"/>
          <w:sz w:val="18"/>
          <w:szCs w:val="18"/>
          <w:rtl w:val="0"/>
        </w:rPr>
        <w:t xml:space="preserve">(1), </w:t>
      </w:r>
      <w:hyperlink r:id="rId29">
        <w:r w:rsidDel="00000000" w:rsidR="00000000" w:rsidRPr="00000000">
          <w:rPr>
            <w:rFonts w:ascii="Verdana" w:cs="Verdana" w:eastAsia="Verdana" w:hAnsi="Verdana"/>
            <w:color w:val="006ebb"/>
            <w:sz w:val="18"/>
            <w:szCs w:val="18"/>
            <w:u w:val="single"/>
            <w:rtl w:val="0"/>
          </w:rPr>
          <w:t xml:space="preserve">20</w:t>
        </w:r>
      </w:hyperlink>
      <w:r w:rsidDel="00000000" w:rsidR="00000000" w:rsidRPr="00000000">
        <w:rPr>
          <w:rFonts w:ascii="Verdana" w:cs="Verdana" w:eastAsia="Verdana" w:hAnsi="Verdana"/>
          <w:color w:val="212121"/>
          <w:sz w:val="18"/>
          <w:szCs w:val="18"/>
          <w:rtl w:val="0"/>
        </w:rPr>
        <w:t xml:space="preserve"> and </w:t>
      </w:r>
      <w:hyperlink r:id="rId30">
        <w:r w:rsidDel="00000000" w:rsidR="00000000" w:rsidRPr="00000000">
          <w:rPr>
            <w:rFonts w:ascii="Verdana" w:cs="Verdana" w:eastAsia="Verdana" w:hAnsi="Verdana"/>
            <w:color w:val="006ebb"/>
            <w:sz w:val="18"/>
            <w:szCs w:val="18"/>
            <w:u w:val="single"/>
            <w:rtl w:val="0"/>
          </w:rPr>
          <w:t xml:space="preserve">26</w:t>
        </w:r>
      </w:hyperlink>
      <w:r w:rsidDel="00000000" w:rsidR="00000000" w:rsidRPr="00000000">
        <w:rPr>
          <w:rFonts w:ascii="Verdana" w:cs="Verdana" w:eastAsia="Verdana" w:hAnsi="Verdana"/>
          <w:color w:val="212121"/>
          <w:sz w:val="18"/>
          <w:szCs w:val="18"/>
          <w:rtl w:val="0"/>
        </w:rPr>
        <w:t xml:space="preserve">; and</w:t>
      </w:r>
    </w:p>
    <w:p w:rsidR="00000000" w:rsidDel="00000000" w:rsidP="00000000" w:rsidRDefault="00000000" w:rsidRPr="00000000" w14:paraId="0000006D">
      <w:pPr>
        <w:rPr/>
      </w:pPr>
      <w:r w:rsidDel="00000000" w:rsidR="00000000" w:rsidRPr="00000000">
        <w:rPr>
          <w:rtl w:val="0"/>
        </w:rPr>
      </w:r>
    </w:p>
    <w:sectPr>
      <w:headerReference r:id="rId31" w:type="default"/>
      <w:headerReference r:id="rId32" w:type="first"/>
      <w:footerReference r:id="rId33" w:type="default"/>
      <w:footerReference r:id="rId34"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5040" w:firstLine="0"/>
      <w:rPr/>
    </w:pPr>
    <w:r w:rsidDel="00000000" w:rsidR="00000000" w:rsidRPr="00000000">
      <w:rPr/>
      <w:drawing>
        <wp:inline distB="114300" distT="114300" distL="114300" distR="114300">
          <wp:extent cx="2881313" cy="10666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1313" cy="10666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ca.practicallaw.thomsonreuters.com/Link/Document/FullText?findType=Y&amp;serNum=0280659553&amp;pubNum=135313&amp;originatingDoc=I188aabaaf92311e498db8b09b4f043e0&amp;refType=IG&amp;docFamilyGuid=I61e9fcecf4db11d99f28ffa0ae8c2575&amp;targetPreference=DocLanguage%3aEN&amp;originationContext=document&amp;transitionType=PLDocumentLink&amp;billingHash=53DBFF372CC4B0E9A214CEBBD5F979E3EB74B592BDA769114E309892D3467AA0&amp;ppcid=f21282c15884471c873f70d7b6499c72&amp;contextData=(sc.Default)" TargetMode="External"/><Relationship Id="rId22"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21" Type="http://schemas.openxmlformats.org/officeDocument/2006/relationships/hyperlink" Target="https://ca.practicallaw.thomsonreuters.com/6-564-8656?originationContext=document&amp;transitionType=DocumentItem&amp;contextData=(sc.Default)&amp;ppcid=f21282c15884471c873f70d7b6499c72" TargetMode="External"/><Relationship Id="rId24"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23"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practicallaw.thomsonreuters.com/Link/Document/FullText?findType=Y&amp;serNum=0280659553&amp;pubNum=135313&amp;originatingDoc=I188aabaaf92311e498db8b09b4f043e0&amp;refType=IG&amp;docFamilyGuid=I61e9fcecf4db11d99f28ffa0ae8c2575&amp;targetPreference=DocLanguage%3aEN&amp;originationContext=document&amp;transitionType=PLDocumentLink&amp;billingHash=53DBFF372CC4B0E9A214CEBBD5F979E3EB74B592BDA769114E309892D3467AA0&amp;ppcid=f21282c15884471c873f70d7b6499c72&amp;contextData=(sc.Default)" TargetMode="External"/><Relationship Id="rId26"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25"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28"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27"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5" Type="http://schemas.openxmlformats.org/officeDocument/2006/relationships/styles" Target="styles.xml"/><Relationship Id="rId6" Type="http://schemas.openxmlformats.org/officeDocument/2006/relationships/hyperlink" Target="https://ca.practicallaw.thomsonreuters.com/6-564-8656?originationContext=document&amp;transitionType=DocumentItem&amp;contextData=(sc.Default)&amp;ppcid=f21282c15884471c873f70d7b6499c72" TargetMode="External"/><Relationship Id="rId29"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7" Type="http://schemas.openxmlformats.org/officeDocument/2006/relationships/hyperlink" Target="https://ca.practicallaw.thomsonreuters.com/6-564-2126?originationContext=document&amp;transitionType=DocumentItem&amp;contextData=(sc.Default)&amp;ppcid=f21282c15884471c873f70d7b6499c72" TargetMode="External"/><Relationship Id="rId8" Type="http://schemas.openxmlformats.org/officeDocument/2006/relationships/hyperlink" Target="https://ca.practicallaw.thomsonreuters.com/9-562-0967?originationContext=document&amp;transitionType=DocumentItem&amp;contextData=(sc.Default)&amp;ppcid=f21282c15884471c873f70d7b6499c72" TargetMode="External"/><Relationship Id="rId31" Type="http://schemas.openxmlformats.org/officeDocument/2006/relationships/header" Target="header1.xml"/><Relationship Id="rId30"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11"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33" Type="http://schemas.openxmlformats.org/officeDocument/2006/relationships/footer" Target="footer2.xml"/><Relationship Id="rId10"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32" Type="http://schemas.openxmlformats.org/officeDocument/2006/relationships/header" Target="header2.xml"/><Relationship Id="rId13" Type="http://schemas.openxmlformats.org/officeDocument/2006/relationships/hyperlink" Target="https://ised-isde.canada.ca/site/corporations-canada/en/business-corporations/policy-continuance-export-federal-corporation#toc-02.1" TargetMode="External"/><Relationship Id="rId12" Type="http://schemas.openxmlformats.org/officeDocument/2006/relationships/hyperlink" Target="https://advance.lexis.com/document/documentlink/?pdmfid=1518425&amp;crid=b47316e7-1899-4de4-9f0c-e66d68806286&amp;pddocfullpath=%2Fshared%2Fdocument%2Fanalytical-materials-lpa-ca%2Furn%3AcontentItem%3A5W0W-D0Y1-F2MB-S2W6-00000-00&amp;pdcontentcomponentid=402959&amp;pddoctitle=Fundamental+Changes+(OBCA)&amp;pdproductcontenttypeid=urn%3Apct%3A322&amp;pdiskwicview=false&amp;ecomp=ghb9k&amp;prid=c1c906e5-c17a-4690-851e-ebebc0f5ae40#" TargetMode="External"/><Relationship Id="rId34" Type="http://schemas.openxmlformats.org/officeDocument/2006/relationships/footer" Target="footer1.xml"/><Relationship Id="rId15" Type="http://schemas.openxmlformats.org/officeDocument/2006/relationships/hyperlink" Target="https://ised-isde.canada.ca/site/corporations-canada/en/business-corporations/policy-continuance-export-federal-corporation#toc-02.3" TargetMode="External"/><Relationship Id="rId14" Type="http://schemas.openxmlformats.org/officeDocument/2006/relationships/hyperlink" Target="https://ised-isde.canada.ca/site/corporations-canada/en/business-corporations/policy-continuance-export-federal-corporation#toc-02.2" TargetMode="External"/><Relationship Id="rId17" Type="http://schemas.openxmlformats.org/officeDocument/2006/relationships/hyperlink" Target="https://ca.practicallaw.thomsonreuters.com/6-564-8656?originationContext=document&amp;transitionType=DocumentItem&amp;contextData=(sc.Default)&amp;ppcid=f21282c15884471c873f70d7b6499c72" TargetMode="External"/><Relationship Id="rId16" Type="http://schemas.openxmlformats.org/officeDocument/2006/relationships/hyperlink" Target="https://ised-isde.canada.ca/site/corporations-canada/en/business-corporations/policy-continuance-export-federal-corporation#toc-02.4" TargetMode="External"/><Relationship Id="rId19" Type="http://schemas.openxmlformats.org/officeDocument/2006/relationships/hyperlink" Target="https://ca.practicallaw.thomsonreuters.com/9-562-0967?originationContext=document&amp;transitionType=DocumentItem&amp;contextData=(sc.Default)&amp;ppcid=f21282c15884471c873f70d7b6499c72" TargetMode="External"/><Relationship Id="rId18" Type="http://schemas.openxmlformats.org/officeDocument/2006/relationships/hyperlink" Target="https://ca.practicallaw.thomsonreuters.com/6-564-2126?originationContext=document&amp;transitionType=DocumentItem&amp;contextData=(sc.Default)&amp;ppcid=f21282c15884471c873f70d7b6499c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