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Corporate Maintenance - Amalgamation</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r>
    </w:p>
    <w:p w:rsidR="00000000" w:rsidDel="00000000" w:rsidP="00000000" w:rsidRDefault="00000000" w:rsidRPr="00000000" w14:paraId="0000000B">
      <w:pPr>
        <w:pStyle w:val="Heading2"/>
        <w:rPr/>
      </w:pPr>
      <w:bookmarkStart w:colFirst="0" w:colLast="0" w:name="_hoz4yglujepz" w:id="3"/>
      <w:bookmarkEnd w:id="3"/>
      <w:r w:rsidDel="00000000" w:rsidR="00000000" w:rsidRPr="00000000">
        <w:rPr>
          <w:rtl w:val="0"/>
        </w:rPr>
        <w:t xml:space="preserve">What Is amalgamation </w:t>
      </w:r>
    </w:p>
    <w:p w:rsidR="00000000" w:rsidDel="00000000" w:rsidP="00000000" w:rsidRDefault="00000000" w:rsidRPr="00000000" w14:paraId="0000000C">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0D">
      <w:pPr>
        <w:spacing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A</w:t>
      </w:r>
    </w:p>
    <w:p w:rsidR="00000000" w:rsidDel="00000000" w:rsidP="00000000" w:rsidRDefault="00000000" w:rsidRPr="00000000" w14:paraId="0000000E">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0F">
      <w:pPr>
        <w:spacing w:after="180"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An amalgamation takes place when </w:t>
      </w:r>
      <w:r w:rsidDel="00000000" w:rsidR="00000000" w:rsidRPr="00000000">
        <w:rPr>
          <w:rFonts w:ascii="Arial" w:cs="Arial" w:eastAsia="Arial" w:hAnsi="Arial"/>
          <w:b w:val="1"/>
          <w:bCs w:val="1"/>
          <w:color w:val="3d3d3d"/>
          <w:sz w:val="27"/>
          <w:szCs w:val="27"/>
          <w:rtl w:val="0"/>
        </w:rPr>
        <w:t xml:space="preserve">two or more</w:t>
      </w:r>
      <w:r w:rsidDel="00000000" w:rsidR="00000000" w:rsidRPr="00000000">
        <w:rPr>
          <w:rFonts w:ascii="Arial" w:cs="Arial" w:eastAsia="Arial" w:hAnsi="Arial"/>
          <w:color w:val="3d3d3d"/>
          <w:sz w:val="27"/>
          <w:szCs w:val="27"/>
          <w:rtl w:val="0"/>
        </w:rPr>
        <w:t xml:space="preserve"> </w:t>
      </w:r>
      <w:hyperlink r:id="rId6">
        <w:r w:rsidDel="00000000" w:rsidR="00000000" w:rsidRPr="00000000">
          <w:rPr>
            <w:rFonts w:ascii="Arial" w:cs="Arial" w:eastAsia="Arial" w:hAnsi="Arial"/>
            <w:color w:val="7834bc"/>
            <w:sz w:val="27"/>
            <w:szCs w:val="27"/>
            <w:u w:val="single"/>
            <w:rtl w:val="0"/>
          </w:rPr>
          <w:t xml:space="preserve">corporations</w:t>
        </w:r>
      </w:hyperlink>
      <w:r w:rsidDel="00000000" w:rsidR="00000000" w:rsidRPr="00000000">
        <w:rPr>
          <w:rFonts w:ascii="Arial" w:cs="Arial" w:eastAsia="Arial" w:hAnsi="Arial"/>
          <w:color w:val="3d3d3d"/>
          <w:sz w:val="27"/>
          <w:szCs w:val="27"/>
          <w:rtl w:val="0"/>
        </w:rPr>
        <w:t xml:space="preserve">, known as predecessor corporations, </w:t>
      </w:r>
      <w:r w:rsidDel="00000000" w:rsidR="00000000" w:rsidRPr="00000000">
        <w:rPr>
          <w:rFonts w:ascii="Arial" w:cs="Arial" w:eastAsia="Arial" w:hAnsi="Arial"/>
          <w:b w:val="1"/>
          <w:bCs w:val="1"/>
          <w:color w:val="3d3d3d"/>
          <w:sz w:val="27"/>
          <w:szCs w:val="27"/>
          <w:rtl w:val="0"/>
        </w:rPr>
        <w:t xml:space="preserve">combine</w:t>
      </w:r>
      <w:r w:rsidDel="00000000" w:rsidR="00000000" w:rsidRPr="00000000">
        <w:rPr>
          <w:rFonts w:ascii="Arial" w:cs="Arial" w:eastAsia="Arial" w:hAnsi="Arial"/>
          <w:color w:val="3d3d3d"/>
          <w:sz w:val="27"/>
          <w:szCs w:val="27"/>
          <w:rtl w:val="0"/>
        </w:rPr>
        <w:t xml:space="preserve"> their businesses to form a new successor corporation.</w:t>
      </w:r>
    </w:p>
    <w:p w:rsidR="00000000" w:rsidDel="00000000" w:rsidP="00000000" w:rsidRDefault="00000000" w:rsidRPr="00000000" w14:paraId="00000010">
      <w:pPr>
        <w:spacing w:after="180" w:before="0" w:lineRule="auto"/>
        <w:rPr>
          <w:rFonts w:ascii="Arial" w:cs="Arial" w:eastAsia="Arial" w:hAnsi="Arial"/>
          <w:color w:val="3d3d3d"/>
          <w:sz w:val="27"/>
          <w:szCs w:val="27"/>
        </w:rPr>
      </w:pPr>
      <w:hyperlink r:id="rId7">
        <w:r w:rsidDel="00000000" w:rsidR="00000000" w:rsidRPr="00000000">
          <w:rPr>
            <w:rFonts w:ascii="Arial" w:cs="Arial" w:eastAsia="Arial" w:hAnsi="Arial"/>
            <w:color w:val="7834bc"/>
            <w:sz w:val="27"/>
            <w:szCs w:val="27"/>
            <w:u w:val="single"/>
            <w:rtl w:val="0"/>
          </w:rPr>
          <w:t xml:space="preserve">Corporations Canada</w:t>
        </w:r>
      </w:hyperlink>
      <w:r w:rsidDel="00000000" w:rsidR="00000000" w:rsidRPr="00000000">
        <w:rPr>
          <w:rFonts w:ascii="Arial" w:cs="Arial" w:eastAsia="Arial" w:hAnsi="Arial"/>
          <w:color w:val="3d3d3d"/>
          <w:sz w:val="27"/>
          <w:szCs w:val="27"/>
          <w:rtl w:val="0"/>
        </w:rPr>
        <w:t xml:space="preserve"> and the </w:t>
      </w:r>
      <w:hyperlink r:id="rId8">
        <w:r w:rsidDel="00000000" w:rsidR="00000000" w:rsidRPr="00000000">
          <w:rPr>
            <w:rFonts w:ascii="Arial" w:cs="Arial" w:eastAsia="Arial" w:hAnsi="Arial"/>
            <w:color w:val="7834bc"/>
            <w:sz w:val="27"/>
            <w:szCs w:val="27"/>
            <w:u w:val="single"/>
            <w:rtl w:val="0"/>
          </w:rPr>
          <w:t xml:space="preserve">provincial and territorial governments</w:t>
        </w:r>
      </w:hyperlink>
      <w:r w:rsidDel="00000000" w:rsidR="00000000" w:rsidRPr="00000000">
        <w:rPr>
          <w:rFonts w:ascii="Arial" w:cs="Arial" w:eastAsia="Arial" w:hAnsi="Arial"/>
          <w:color w:val="3d3d3d"/>
          <w:sz w:val="27"/>
          <w:szCs w:val="27"/>
          <w:rtl w:val="0"/>
        </w:rPr>
        <w:t xml:space="preserve"> approve all corporate amalgamations.</w:t>
      </w:r>
    </w:p>
    <w:p w:rsidR="00000000" w:rsidDel="00000000" w:rsidP="00000000" w:rsidRDefault="00000000" w:rsidRPr="00000000" w14:paraId="00000011">
      <w:pPr>
        <w:spacing w:after="180"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The </w:t>
      </w:r>
      <w:r w:rsidDel="00000000" w:rsidR="00000000" w:rsidRPr="00000000">
        <w:rPr>
          <w:rFonts w:ascii="Arial" w:cs="Arial" w:eastAsia="Arial" w:hAnsi="Arial"/>
          <w:color w:val="3d3d3d"/>
          <w:sz w:val="27"/>
          <w:szCs w:val="27"/>
          <w:u w:val="single"/>
          <w:rtl w:val="0"/>
        </w:rPr>
        <w:t xml:space="preserve">CRA</w:t>
      </w:r>
      <w:r w:rsidDel="00000000" w:rsidR="00000000" w:rsidRPr="00000000">
        <w:rPr>
          <w:rFonts w:ascii="Arial" w:cs="Arial" w:eastAsia="Arial" w:hAnsi="Arial"/>
          <w:color w:val="3d3d3d"/>
          <w:sz w:val="27"/>
          <w:szCs w:val="27"/>
          <w:rtl w:val="0"/>
        </w:rPr>
        <w:t xml:space="preserve"> accepts either of the following as proof of amalgamation:</w:t>
      </w:r>
    </w:p>
    <w:p w:rsidR="00000000" w:rsidDel="00000000" w:rsidP="00000000" w:rsidRDefault="00000000" w:rsidRPr="00000000" w14:paraId="00000012">
      <w:pPr>
        <w:numPr>
          <w:ilvl w:val="0"/>
          <w:numId w:val="1"/>
        </w:numPr>
        <w:spacing w:after="0" w:afterAutospacing="0" w:before="0" w:lineRule="auto"/>
        <w:ind w:left="720" w:hanging="360"/>
        <w:jc w:val="left"/>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the certificate of amalgamation from either Corporations Canada or the provincial or territorial government</w:t>
      </w:r>
    </w:p>
    <w:p w:rsidR="00000000" w:rsidDel="00000000" w:rsidP="00000000" w:rsidRDefault="00000000" w:rsidRPr="00000000" w14:paraId="00000013">
      <w:pPr>
        <w:numPr>
          <w:ilvl w:val="0"/>
          <w:numId w:val="1"/>
        </w:numPr>
        <w:spacing w:after="180" w:before="0" w:lineRule="auto"/>
        <w:ind w:left="720" w:hanging="360"/>
        <w:jc w:val="left"/>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a court order</w:t>
      </w:r>
    </w:p>
    <w:p w:rsidR="00000000" w:rsidDel="00000000" w:rsidP="00000000" w:rsidRDefault="00000000" w:rsidRPr="00000000" w14:paraId="00000014">
      <w:pPr>
        <w:spacing w:after="180"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Send either proof of amalgamation to your </w:t>
      </w:r>
      <w:hyperlink r:id="rId9">
        <w:r w:rsidDel="00000000" w:rsidR="00000000" w:rsidRPr="00000000">
          <w:rPr>
            <w:rFonts w:ascii="Arial" w:cs="Arial" w:eastAsia="Arial" w:hAnsi="Arial"/>
            <w:color w:val="7834bc"/>
            <w:sz w:val="27"/>
            <w:szCs w:val="27"/>
            <w:u w:val="single"/>
            <w:rtl w:val="0"/>
          </w:rPr>
          <w:t xml:space="preserve">tax centre</w:t>
        </w:r>
      </w:hyperlink>
      <w:r w:rsidDel="00000000" w:rsidR="00000000" w:rsidRPr="00000000">
        <w:rPr>
          <w:rFonts w:ascii="Arial" w:cs="Arial" w:eastAsia="Arial" w:hAnsi="Arial"/>
          <w:color w:val="3d3d3d"/>
          <w:sz w:val="27"/>
          <w:szCs w:val="27"/>
          <w:rtl w:val="0"/>
        </w:rPr>
        <w:t xml:space="preserve">.</w:t>
      </w:r>
    </w:p>
    <w:p w:rsidR="00000000" w:rsidDel="00000000" w:rsidP="00000000" w:rsidRDefault="00000000" w:rsidRPr="00000000" w14:paraId="00000015">
      <w:pPr>
        <w:spacing w:after="180"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Based on the information received, the </w:t>
      </w:r>
      <w:r w:rsidDel="00000000" w:rsidR="00000000" w:rsidRPr="00000000">
        <w:rPr>
          <w:rFonts w:ascii="Arial" w:cs="Arial" w:eastAsia="Arial" w:hAnsi="Arial"/>
          <w:color w:val="3d3d3d"/>
          <w:sz w:val="27"/>
          <w:szCs w:val="27"/>
          <w:u w:val="single"/>
          <w:rtl w:val="0"/>
        </w:rPr>
        <w:t xml:space="preserve">CRA</w:t>
      </w:r>
      <w:r w:rsidDel="00000000" w:rsidR="00000000" w:rsidRPr="00000000">
        <w:rPr>
          <w:rFonts w:ascii="Arial" w:cs="Arial" w:eastAsia="Arial" w:hAnsi="Arial"/>
          <w:color w:val="3d3d3d"/>
          <w:sz w:val="27"/>
          <w:szCs w:val="27"/>
          <w:rtl w:val="0"/>
        </w:rPr>
        <w:t xml:space="preserve"> makes the necessary changes to the old </w:t>
      </w:r>
      <w:hyperlink r:id="rId10">
        <w:r w:rsidDel="00000000" w:rsidR="00000000" w:rsidRPr="00000000">
          <w:rPr>
            <w:rFonts w:ascii="Arial" w:cs="Arial" w:eastAsia="Arial" w:hAnsi="Arial"/>
            <w:color w:val="7834bc"/>
            <w:sz w:val="27"/>
            <w:szCs w:val="27"/>
            <w:u w:val="single"/>
            <w:rtl w:val="0"/>
          </w:rPr>
          <w:t xml:space="preserve">business numbers (BN)</w:t>
        </w:r>
      </w:hyperlink>
      <w:r w:rsidDel="00000000" w:rsidR="00000000" w:rsidRPr="00000000">
        <w:rPr>
          <w:rFonts w:ascii="Arial" w:cs="Arial" w:eastAsia="Arial" w:hAnsi="Arial"/>
          <w:color w:val="3d3d3d"/>
          <w:sz w:val="27"/>
          <w:szCs w:val="27"/>
          <w:rtl w:val="0"/>
        </w:rPr>
        <w:t xml:space="preserve"> including the </w:t>
      </w:r>
      <w:hyperlink r:id="rId11">
        <w:r w:rsidDel="00000000" w:rsidR="00000000" w:rsidRPr="00000000">
          <w:rPr>
            <w:rFonts w:ascii="Arial" w:cs="Arial" w:eastAsia="Arial" w:hAnsi="Arial"/>
            <w:color w:val="7834bc"/>
            <w:sz w:val="27"/>
            <w:szCs w:val="27"/>
            <w:u w:val="single"/>
            <w:rtl w:val="0"/>
          </w:rPr>
          <w:t xml:space="preserve">corporation income tax accounts</w:t>
        </w:r>
      </w:hyperlink>
      <w:r w:rsidDel="00000000" w:rsidR="00000000" w:rsidRPr="00000000">
        <w:rPr>
          <w:rFonts w:ascii="Arial" w:cs="Arial" w:eastAsia="Arial" w:hAnsi="Arial"/>
          <w:color w:val="3d3d3d"/>
          <w:sz w:val="27"/>
          <w:szCs w:val="27"/>
          <w:rtl w:val="0"/>
        </w:rPr>
        <w:t xml:space="preserve">, and, if necessary, register a new </w:t>
      </w:r>
      <w:r w:rsidDel="00000000" w:rsidR="00000000" w:rsidRPr="00000000">
        <w:rPr>
          <w:rFonts w:ascii="Arial" w:cs="Arial" w:eastAsia="Arial" w:hAnsi="Arial"/>
          <w:color w:val="3d3d3d"/>
          <w:sz w:val="27"/>
          <w:szCs w:val="27"/>
          <w:u w:val="single"/>
          <w:rtl w:val="0"/>
        </w:rPr>
        <w:t xml:space="preserve">BN</w:t>
      </w:r>
      <w:r w:rsidDel="00000000" w:rsidR="00000000" w:rsidRPr="00000000">
        <w:rPr>
          <w:rFonts w:ascii="Arial" w:cs="Arial" w:eastAsia="Arial" w:hAnsi="Arial"/>
          <w:color w:val="3d3d3d"/>
          <w:sz w:val="27"/>
          <w:szCs w:val="27"/>
          <w:rtl w:val="0"/>
        </w:rPr>
        <w:t xml:space="preserve"> and </w:t>
      </w:r>
      <w:r w:rsidDel="00000000" w:rsidR="00000000" w:rsidRPr="00000000">
        <w:rPr>
          <w:rFonts w:ascii="Arial" w:cs="Arial" w:eastAsia="Arial" w:hAnsi="Arial"/>
          <w:color w:val="3d3d3d"/>
          <w:sz w:val="27"/>
          <w:szCs w:val="27"/>
          <w:u w:val="single"/>
          <w:rtl w:val="0"/>
        </w:rPr>
        <w:t xml:space="preserve">CRA</w:t>
      </w:r>
      <w:r w:rsidDel="00000000" w:rsidR="00000000" w:rsidRPr="00000000">
        <w:rPr>
          <w:rFonts w:ascii="Arial" w:cs="Arial" w:eastAsia="Arial" w:hAnsi="Arial"/>
          <w:color w:val="3d3d3d"/>
          <w:sz w:val="27"/>
          <w:szCs w:val="27"/>
          <w:rtl w:val="0"/>
        </w:rPr>
        <w:t xml:space="preserve"> accounts for the newly created corporation.</w:t>
      </w:r>
    </w:p>
    <w:p w:rsidR="00000000" w:rsidDel="00000000" w:rsidP="00000000" w:rsidRDefault="00000000" w:rsidRPr="00000000" w14:paraId="00000016">
      <w:pPr>
        <w:spacing w:after="180"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If you want to </w:t>
      </w:r>
      <w:r w:rsidDel="00000000" w:rsidR="00000000" w:rsidRPr="00000000">
        <w:rPr>
          <w:rFonts w:ascii="Arial" w:cs="Arial" w:eastAsia="Arial" w:hAnsi="Arial"/>
          <w:b w:val="1"/>
          <w:bCs w:val="1"/>
          <w:color w:val="3d3d3d"/>
          <w:sz w:val="27"/>
          <w:szCs w:val="27"/>
          <w:rtl w:val="0"/>
        </w:rPr>
        <w:t xml:space="preserve">keep</w:t>
      </w:r>
      <w:r w:rsidDel="00000000" w:rsidR="00000000" w:rsidRPr="00000000">
        <w:rPr>
          <w:rFonts w:ascii="Arial" w:cs="Arial" w:eastAsia="Arial" w:hAnsi="Arial"/>
          <w:color w:val="3d3d3d"/>
          <w:sz w:val="27"/>
          <w:szCs w:val="27"/>
          <w:rtl w:val="0"/>
        </w:rPr>
        <w:t xml:space="preserve"> the </w:t>
      </w:r>
      <w:r w:rsidDel="00000000" w:rsidR="00000000" w:rsidRPr="00000000">
        <w:rPr>
          <w:rFonts w:ascii="Arial" w:cs="Arial" w:eastAsia="Arial" w:hAnsi="Arial"/>
          <w:color w:val="3d3d3d"/>
          <w:sz w:val="27"/>
          <w:szCs w:val="27"/>
          <w:u w:val="single"/>
          <w:rtl w:val="0"/>
        </w:rPr>
        <w:t xml:space="preserve">BN</w:t>
      </w:r>
      <w:r w:rsidDel="00000000" w:rsidR="00000000" w:rsidRPr="00000000">
        <w:rPr>
          <w:rFonts w:ascii="Arial" w:cs="Arial" w:eastAsia="Arial" w:hAnsi="Arial"/>
          <w:color w:val="3d3d3d"/>
          <w:sz w:val="27"/>
          <w:szCs w:val="27"/>
          <w:rtl w:val="0"/>
        </w:rPr>
        <w:t xml:space="preserve"> of one of the old corporations, send a letter to your </w:t>
      </w:r>
      <w:hyperlink r:id="rId12">
        <w:r w:rsidDel="00000000" w:rsidR="00000000" w:rsidRPr="00000000">
          <w:rPr>
            <w:rFonts w:ascii="Arial" w:cs="Arial" w:eastAsia="Arial" w:hAnsi="Arial"/>
            <w:color w:val="7834bc"/>
            <w:sz w:val="27"/>
            <w:szCs w:val="27"/>
            <w:u w:val="single"/>
            <w:rtl w:val="0"/>
          </w:rPr>
          <w:t xml:space="preserve">tax services office or tax centre</w:t>
        </w:r>
      </w:hyperlink>
      <w:r w:rsidDel="00000000" w:rsidR="00000000" w:rsidRPr="00000000">
        <w:rPr>
          <w:rFonts w:ascii="Arial" w:cs="Arial" w:eastAsia="Arial" w:hAnsi="Arial"/>
          <w:color w:val="3d3d3d"/>
          <w:sz w:val="27"/>
          <w:szCs w:val="27"/>
          <w:rtl w:val="0"/>
        </w:rPr>
        <w:t xml:space="preserve"> to tell the </w:t>
      </w:r>
      <w:r w:rsidDel="00000000" w:rsidR="00000000" w:rsidRPr="00000000">
        <w:rPr>
          <w:rFonts w:ascii="Arial" w:cs="Arial" w:eastAsia="Arial" w:hAnsi="Arial"/>
          <w:color w:val="3d3d3d"/>
          <w:sz w:val="27"/>
          <w:szCs w:val="27"/>
          <w:u w:val="single"/>
          <w:rtl w:val="0"/>
        </w:rPr>
        <w:t xml:space="preserve">CRA</w:t>
      </w:r>
      <w:r w:rsidDel="00000000" w:rsidR="00000000" w:rsidRPr="00000000">
        <w:rPr>
          <w:rFonts w:ascii="Arial" w:cs="Arial" w:eastAsia="Arial" w:hAnsi="Arial"/>
          <w:color w:val="3d3d3d"/>
          <w:sz w:val="27"/>
          <w:szCs w:val="27"/>
          <w:rtl w:val="0"/>
        </w:rPr>
        <w:t xml:space="preserve"> which number to keep. However, if one of the corporations is non-resident, you have to apply for a new </w:t>
      </w:r>
      <w:r w:rsidDel="00000000" w:rsidR="00000000" w:rsidRPr="00000000">
        <w:rPr>
          <w:rFonts w:ascii="Arial" w:cs="Arial" w:eastAsia="Arial" w:hAnsi="Arial"/>
          <w:color w:val="3d3d3d"/>
          <w:sz w:val="27"/>
          <w:szCs w:val="27"/>
          <w:u w:val="single"/>
          <w:rtl w:val="0"/>
        </w:rPr>
        <w:t xml:space="preserve">BN</w:t>
      </w:r>
      <w:r w:rsidDel="00000000" w:rsidR="00000000" w:rsidRPr="00000000">
        <w:rPr>
          <w:rFonts w:ascii="Arial" w:cs="Arial" w:eastAsia="Arial" w:hAnsi="Arial"/>
          <w:color w:val="3d3d3d"/>
          <w:sz w:val="27"/>
          <w:szCs w:val="27"/>
          <w:rtl w:val="0"/>
        </w:rPr>
        <w:t xml:space="preserve">.</w:t>
      </w:r>
    </w:p>
    <w:p w:rsidR="00000000" w:rsidDel="00000000" w:rsidP="00000000" w:rsidRDefault="00000000" w:rsidRPr="00000000" w14:paraId="00000017">
      <w:pPr>
        <w:spacing w:after="180"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Several topics below explain how an amalgamation may have an effect on many of your dealings with the </w:t>
      </w:r>
      <w:r w:rsidDel="00000000" w:rsidR="00000000" w:rsidRPr="00000000">
        <w:rPr>
          <w:rFonts w:ascii="Arial" w:cs="Arial" w:eastAsia="Arial" w:hAnsi="Arial"/>
          <w:color w:val="3d3d3d"/>
          <w:sz w:val="27"/>
          <w:szCs w:val="27"/>
          <w:u w:val="single"/>
          <w:rtl w:val="0"/>
        </w:rPr>
        <w:t xml:space="preserve">CRA</w:t>
      </w:r>
      <w:r w:rsidDel="00000000" w:rsidR="00000000" w:rsidRPr="00000000">
        <w:rPr>
          <w:rFonts w:ascii="Arial" w:cs="Arial" w:eastAsia="Arial" w:hAnsi="Arial"/>
          <w:color w:val="3d3d3d"/>
          <w:sz w:val="27"/>
          <w:szCs w:val="27"/>
          <w:rtl w:val="0"/>
        </w:rPr>
        <w:t xml:space="preserve">.</w:t>
      </w:r>
    </w:p>
    <w:p w:rsidR="00000000" w:rsidDel="00000000" w:rsidP="00000000" w:rsidRDefault="00000000" w:rsidRPr="00000000" w14:paraId="00000018">
      <w:pPr>
        <w:pStyle w:val="Heading2"/>
        <w:spacing w:after="180" w:before="580" w:line="264" w:lineRule="auto"/>
        <w:rPr>
          <w:rFonts w:ascii="Lato" w:cs="Lato" w:eastAsia="Lato" w:hAnsi="Lato"/>
          <w:color w:val="3d3d3d"/>
          <w:sz w:val="61"/>
          <w:szCs w:val="61"/>
        </w:rPr>
      </w:pPr>
      <w:bookmarkStart w:colFirst="0" w:colLast="0" w:name="_j4471tfol3m9" w:id="4"/>
      <w:bookmarkEnd w:id="4"/>
      <w:r w:rsidDel="00000000" w:rsidR="00000000" w:rsidRPr="00000000">
        <w:rPr>
          <w:rFonts w:ascii="Lato" w:cs="Lato" w:eastAsia="Lato" w:hAnsi="Lato"/>
          <w:color w:val="3d3d3d"/>
          <w:sz w:val="61"/>
          <w:szCs w:val="61"/>
          <w:rtl w:val="0"/>
        </w:rPr>
        <w:t xml:space="preserve">Payments</w:t>
      </w:r>
    </w:p>
    <w:p w:rsidR="00000000" w:rsidDel="00000000" w:rsidP="00000000" w:rsidRDefault="00000000" w:rsidRPr="00000000" w14:paraId="00000019">
      <w:pPr>
        <w:numPr>
          <w:ilvl w:val="0"/>
          <w:numId w:val="4"/>
        </w:numPr>
        <w:spacing w:after="0" w:afterAutospacing="0" w:before="0" w:lineRule="auto"/>
        <w:ind w:left="720" w:hanging="360"/>
        <w:jc w:val="left"/>
        <w:rPr>
          <w:rFonts w:ascii="Arial" w:cs="Arial" w:eastAsia="Arial" w:hAnsi="Arial"/>
          <w:color w:val="3d3d3d"/>
          <w:sz w:val="27"/>
          <w:szCs w:val="27"/>
        </w:rPr>
      </w:pPr>
      <w:hyperlink r:id="rId13">
        <w:r w:rsidDel="00000000" w:rsidR="00000000" w:rsidRPr="00000000">
          <w:rPr>
            <w:rFonts w:ascii="Arial" w:cs="Arial" w:eastAsia="Arial" w:hAnsi="Arial"/>
            <w:color w:val="7834bc"/>
            <w:sz w:val="27"/>
            <w:szCs w:val="27"/>
            <w:u w:val="single"/>
            <w:rtl w:val="0"/>
          </w:rPr>
          <w:t xml:space="preserve">Rules for special situations – Amalgamations</w:t>
        </w:r>
      </w:hyperlink>
      <w:r w:rsidDel="00000000" w:rsidR="00000000" w:rsidRPr="00000000">
        <w:rPr>
          <w:rFonts w:ascii="Arial" w:cs="Arial" w:eastAsia="Arial" w:hAnsi="Arial"/>
          <w:color w:val="3d3d3d"/>
          <w:sz w:val="27"/>
          <w:szCs w:val="27"/>
          <w:rtl w:val="0"/>
        </w:rPr>
        <w:t xml:space="preserve"> – Learn how to calculate your instalment base.</w:t>
      </w:r>
    </w:p>
    <w:p w:rsidR="00000000" w:rsidDel="00000000" w:rsidP="00000000" w:rsidRDefault="00000000" w:rsidRPr="00000000" w14:paraId="0000001A">
      <w:pPr>
        <w:numPr>
          <w:ilvl w:val="0"/>
          <w:numId w:val="4"/>
        </w:numPr>
        <w:spacing w:after="180" w:before="0" w:lineRule="auto"/>
        <w:ind w:left="720" w:hanging="360"/>
        <w:jc w:val="left"/>
        <w:rPr>
          <w:rFonts w:ascii="Arial" w:cs="Arial" w:eastAsia="Arial" w:hAnsi="Arial"/>
          <w:color w:val="3d3d3d"/>
          <w:sz w:val="27"/>
          <w:szCs w:val="27"/>
        </w:rPr>
      </w:pPr>
      <w:hyperlink r:id="rId14">
        <w:r w:rsidDel="00000000" w:rsidR="00000000" w:rsidRPr="00000000">
          <w:rPr>
            <w:rFonts w:ascii="Arial" w:cs="Arial" w:eastAsia="Arial" w:hAnsi="Arial"/>
            <w:color w:val="7834bc"/>
            <w:sz w:val="27"/>
            <w:szCs w:val="27"/>
            <w:u w:val="single"/>
            <w:rtl w:val="0"/>
          </w:rPr>
          <w:t xml:space="preserve">Paying your balance of corporation tax – Amalgamations</w:t>
        </w:r>
      </w:hyperlink>
      <w:r w:rsidDel="00000000" w:rsidR="00000000" w:rsidRPr="00000000">
        <w:rPr>
          <w:rFonts w:ascii="Arial" w:cs="Arial" w:eastAsia="Arial" w:hAnsi="Arial"/>
          <w:color w:val="3d3d3d"/>
          <w:sz w:val="27"/>
          <w:szCs w:val="27"/>
          <w:rtl w:val="0"/>
        </w:rPr>
        <w:t xml:space="preserve"> – A special rule applies in determining your balance-due day and business limit</w:t>
      </w:r>
    </w:p>
    <w:p w:rsidR="00000000" w:rsidDel="00000000" w:rsidP="00000000" w:rsidRDefault="00000000" w:rsidRPr="00000000" w14:paraId="0000001B">
      <w:pPr>
        <w:pStyle w:val="Heading2"/>
        <w:spacing w:after="180" w:before="580" w:line="264" w:lineRule="auto"/>
        <w:rPr>
          <w:rFonts w:ascii="Lato" w:cs="Lato" w:eastAsia="Lato" w:hAnsi="Lato"/>
          <w:color w:val="3d3d3d"/>
          <w:sz w:val="61"/>
          <w:szCs w:val="61"/>
        </w:rPr>
      </w:pPr>
      <w:bookmarkStart w:colFirst="0" w:colLast="0" w:name="_xwasy49847c2" w:id="5"/>
      <w:bookmarkEnd w:id="5"/>
      <w:r w:rsidDel="00000000" w:rsidR="00000000" w:rsidRPr="00000000">
        <w:rPr>
          <w:rFonts w:ascii="Lato" w:cs="Lato" w:eastAsia="Lato" w:hAnsi="Lato"/>
          <w:color w:val="3d3d3d"/>
          <w:sz w:val="61"/>
          <w:szCs w:val="61"/>
          <w:rtl w:val="0"/>
        </w:rPr>
        <w:t xml:space="preserve">Filing your return</w:t>
      </w:r>
    </w:p>
    <w:p w:rsidR="00000000" w:rsidDel="00000000" w:rsidP="00000000" w:rsidRDefault="00000000" w:rsidRPr="00000000" w14:paraId="0000001C">
      <w:pPr>
        <w:spacing w:after="180" w:before="0" w:lineRule="auto"/>
        <w:rPr>
          <w:rFonts w:ascii="Arial" w:cs="Arial" w:eastAsia="Arial" w:hAnsi="Arial"/>
          <w:color w:val="3d3d3d"/>
          <w:sz w:val="27"/>
          <w:szCs w:val="27"/>
        </w:rPr>
      </w:pPr>
      <w:r w:rsidDel="00000000" w:rsidR="00000000" w:rsidRPr="00000000">
        <w:rPr>
          <w:rFonts w:ascii="Arial" w:cs="Arial" w:eastAsia="Arial" w:hAnsi="Arial"/>
          <w:b w:val="1"/>
          <w:bCs w:val="1"/>
          <w:color w:val="3d3d3d"/>
          <w:sz w:val="27"/>
          <w:szCs w:val="27"/>
          <w:rtl w:val="0"/>
        </w:rPr>
        <w:t xml:space="preserve">Effective date of amalgamation</w:t>
      </w:r>
      <w:r w:rsidDel="00000000" w:rsidR="00000000" w:rsidRPr="00000000">
        <w:rPr>
          <w:rFonts w:ascii="Arial" w:cs="Arial" w:eastAsia="Arial" w:hAnsi="Arial"/>
          <w:color w:val="3d3d3d"/>
          <w:sz w:val="27"/>
          <w:szCs w:val="27"/>
          <w:rtl w:val="0"/>
        </w:rPr>
        <w:t xml:space="preserve"> – Each of the predecessor corporations has to file a return for the period ending immediately before the effective date of amalgamation. The fiscal period start of the successor corporation begins on the date of amalgamation. For more information, see "Effective Date of Amalgamation" in </w:t>
      </w:r>
      <w:hyperlink r:id="rId15">
        <w:r w:rsidDel="00000000" w:rsidR="00000000" w:rsidRPr="00000000">
          <w:rPr>
            <w:rFonts w:ascii="Arial" w:cs="Arial" w:eastAsia="Arial" w:hAnsi="Arial"/>
            <w:color w:val="7834bc"/>
            <w:sz w:val="27"/>
            <w:szCs w:val="27"/>
            <w:u w:val="single"/>
            <w:rtl w:val="0"/>
          </w:rPr>
          <w:t xml:space="preserve">Income Tax Folio S4-F7-C1, Amalgamations of Canadian Corporations</w:t>
        </w:r>
      </w:hyperlink>
      <w:r w:rsidDel="00000000" w:rsidR="00000000" w:rsidRPr="00000000">
        <w:rPr>
          <w:rFonts w:ascii="Arial" w:cs="Arial" w:eastAsia="Arial" w:hAnsi="Arial"/>
          <w:color w:val="3d3d3d"/>
          <w:sz w:val="27"/>
          <w:szCs w:val="27"/>
          <w:rtl w:val="0"/>
        </w:rPr>
        <w:t xml:space="preserve">.</w:t>
      </w:r>
    </w:p>
    <w:p w:rsidR="00000000" w:rsidDel="00000000" w:rsidP="00000000" w:rsidRDefault="00000000" w:rsidRPr="00000000" w14:paraId="0000001D">
      <w:pPr>
        <w:spacing w:after="180" w:before="0" w:lineRule="auto"/>
        <w:rPr>
          <w:rFonts w:ascii="Arial" w:cs="Arial" w:eastAsia="Arial" w:hAnsi="Arial"/>
          <w:color w:val="3d3d3d"/>
          <w:sz w:val="27"/>
          <w:szCs w:val="27"/>
        </w:rPr>
      </w:pPr>
      <w:r w:rsidDel="00000000" w:rsidR="00000000" w:rsidRPr="00000000">
        <w:rPr>
          <w:rFonts w:ascii="Arial" w:cs="Arial" w:eastAsia="Arial" w:hAnsi="Arial"/>
          <w:b w:val="1"/>
          <w:bCs w:val="1"/>
          <w:color w:val="3d3d3d"/>
          <w:sz w:val="27"/>
          <w:szCs w:val="27"/>
          <w:rtl w:val="0"/>
        </w:rPr>
        <w:t xml:space="preserve">Final tax year before amalgamation</w:t>
      </w:r>
      <w:r w:rsidDel="00000000" w:rsidR="00000000" w:rsidRPr="00000000">
        <w:rPr>
          <w:rFonts w:ascii="Arial" w:cs="Arial" w:eastAsia="Arial" w:hAnsi="Arial"/>
          <w:color w:val="3d3d3d"/>
          <w:sz w:val="27"/>
          <w:szCs w:val="27"/>
          <w:rtl w:val="0"/>
        </w:rPr>
        <w:t xml:space="preserve"> – What predecessor corporations need to know. See "Line 076 – Is this the final tax year before amalgamation?" in the </w:t>
      </w:r>
      <w:hyperlink r:id="rId16">
        <w:r w:rsidDel="00000000" w:rsidR="00000000" w:rsidRPr="00000000">
          <w:rPr>
            <w:rFonts w:ascii="Arial" w:cs="Arial" w:eastAsia="Arial" w:hAnsi="Arial"/>
            <w:color w:val="7834bc"/>
            <w:sz w:val="27"/>
            <w:szCs w:val="27"/>
            <w:u w:val="single"/>
            <w:rtl w:val="0"/>
          </w:rPr>
          <w:t xml:space="preserve">Guide T4012, T2 Corporation – Income Tax Guide</w:t>
        </w:r>
      </w:hyperlink>
      <w:r w:rsidDel="00000000" w:rsidR="00000000" w:rsidRPr="00000000">
        <w:rPr>
          <w:rFonts w:ascii="Arial" w:cs="Arial" w:eastAsia="Arial" w:hAnsi="Arial"/>
          <w:color w:val="3d3d3d"/>
          <w:sz w:val="27"/>
          <w:szCs w:val="27"/>
          <w:rtl w:val="0"/>
        </w:rPr>
        <w:t xml:space="preserve">.</w:t>
      </w:r>
    </w:p>
    <w:p w:rsidR="00000000" w:rsidDel="00000000" w:rsidP="00000000" w:rsidRDefault="00000000" w:rsidRPr="00000000" w14:paraId="0000001E">
      <w:pPr>
        <w:spacing w:after="180" w:before="0" w:lineRule="auto"/>
        <w:rPr>
          <w:rFonts w:ascii="Arial" w:cs="Arial" w:eastAsia="Arial" w:hAnsi="Arial"/>
          <w:color w:val="3d3d3d"/>
          <w:sz w:val="27"/>
          <w:szCs w:val="27"/>
        </w:rPr>
      </w:pPr>
      <w:r w:rsidDel="00000000" w:rsidR="00000000" w:rsidRPr="00000000">
        <w:rPr>
          <w:rFonts w:ascii="Arial" w:cs="Arial" w:eastAsia="Arial" w:hAnsi="Arial"/>
          <w:b w:val="1"/>
          <w:bCs w:val="1"/>
          <w:color w:val="3d3d3d"/>
          <w:sz w:val="27"/>
          <w:szCs w:val="27"/>
          <w:rtl w:val="0"/>
        </w:rPr>
        <w:t xml:space="preserve">First year of filing after amalgamation</w:t>
      </w:r>
      <w:r w:rsidDel="00000000" w:rsidR="00000000" w:rsidRPr="00000000">
        <w:rPr>
          <w:rFonts w:ascii="Arial" w:cs="Arial" w:eastAsia="Arial" w:hAnsi="Arial"/>
          <w:color w:val="3d3d3d"/>
          <w:sz w:val="27"/>
          <w:szCs w:val="27"/>
          <w:rtl w:val="0"/>
        </w:rPr>
        <w:t xml:space="preserve"> – Information on completing your T2 return. See "Line 071 – Is this the first year of filing after amalgamation?" in the T2 Corporation – Income Tax Guide. You also have to file </w:t>
      </w:r>
      <w:hyperlink r:id="rId17">
        <w:r w:rsidDel="00000000" w:rsidR="00000000" w:rsidRPr="00000000">
          <w:rPr>
            <w:rFonts w:ascii="Arial" w:cs="Arial" w:eastAsia="Arial" w:hAnsi="Arial"/>
            <w:color w:val="7834bc"/>
            <w:sz w:val="27"/>
            <w:szCs w:val="27"/>
            <w:u w:val="single"/>
            <w:rtl w:val="0"/>
          </w:rPr>
          <w:t xml:space="preserve">Schedule 24, First Time Filer After Incorporation, Amalgamation, or Winding-up of a Subsidiary into a Parent</w:t>
        </w:r>
      </w:hyperlink>
      <w:r w:rsidDel="00000000" w:rsidR="00000000" w:rsidRPr="00000000">
        <w:rPr>
          <w:rFonts w:ascii="Arial" w:cs="Arial" w:eastAsia="Arial" w:hAnsi="Arial"/>
          <w:color w:val="3d3d3d"/>
          <w:sz w:val="27"/>
          <w:szCs w:val="27"/>
          <w:rtl w:val="0"/>
        </w:rPr>
        <w:t xml:space="preserve"> with your </w:t>
      </w:r>
      <w:hyperlink r:id="rId18">
        <w:r w:rsidDel="00000000" w:rsidR="00000000" w:rsidRPr="00000000">
          <w:rPr>
            <w:rFonts w:ascii="Arial" w:cs="Arial" w:eastAsia="Arial" w:hAnsi="Arial"/>
            <w:color w:val="7834bc"/>
            <w:sz w:val="27"/>
            <w:szCs w:val="27"/>
            <w:u w:val="single"/>
            <w:rtl w:val="0"/>
          </w:rPr>
          <w:t xml:space="preserve">T2 Corporation Income Tax Return</w:t>
        </w:r>
      </w:hyperlink>
      <w:r w:rsidDel="00000000" w:rsidR="00000000" w:rsidRPr="00000000">
        <w:rPr>
          <w:rFonts w:ascii="Arial" w:cs="Arial" w:eastAsia="Arial" w:hAnsi="Arial"/>
          <w:color w:val="3d3d3d"/>
          <w:sz w:val="27"/>
          <w:szCs w:val="27"/>
          <w:rtl w:val="0"/>
        </w:rPr>
        <w:t xml:space="preserve">.</w:t>
      </w:r>
    </w:p>
    <w:p w:rsidR="00000000" w:rsidDel="00000000" w:rsidP="00000000" w:rsidRDefault="00000000" w:rsidRPr="00000000" w14:paraId="0000001F">
      <w:pPr>
        <w:pStyle w:val="Heading2"/>
        <w:spacing w:after="180" w:before="580" w:line="264" w:lineRule="auto"/>
        <w:rPr>
          <w:rFonts w:ascii="Lato" w:cs="Lato" w:eastAsia="Lato" w:hAnsi="Lato"/>
          <w:color w:val="3d3d3d"/>
          <w:sz w:val="61"/>
          <w:szCs w:val="61"/>
        </w:rPr>
      </w:pPr>
      <w:bookmarkStart w:colFirst="0" w:colLast="0" w:name="_g1vvx8l6jeno" w:id="6"/>
      <w:bookmarkEnd w:id="6"/>
      <w:r w:rsidDel="00000000" w:rsidR="00000000" w:rsidRPr="00000000">
        <w:rPr>
          <w:rFonts w:ascii="Lato" w:cs="Lato" w:eastAsia="Lato" w:hAnsi="Lato"/>
          <w:color w:val="3d3d3d"/>
          <w:sz w:val="61"/>
          <w:szCs w:val="61"/>
          <w:rtl w:val="0"/>
        </w:rPr>
        <w:t xml:space="preserve">Forms and publications</w:t>
      </w:r>
    </w:p>
    <w:p w:rsidR="00000000" w:rsidDel="00000000" w:rsidP="00000000" w:rsidRDefault="00000000" w:rsidRPr="00000000" w14:paraId="00000020">
      <w:pPr>
        <w:numPr>
          <w:ilvl w:val="0"/>
          <w:numId w:val="2"/>
        </w:numPr>
        <w:spacing w:after="0" w:afterAutospacing="0" w:before="0" w:lineRule="auto"/>
        <w:ind w:left="720" w:hanging="360"/>
        <w:jc w:val="left"/>
        <w:rPr>
          <w:rFonts w:ascii="Arial" w:cs="Arial" w:eastAsia="Arial" w:hAnsi="Arial"/>
          <w:color w:val="3d3d3d"/>
          <w:sz w:val="27"/>
          <w:szCs w:val="27"/>
        </w:rPr>
      </w:pPr>
      <w:hyperlink r:id="rId19">
        <w:r w:rsidDel="00000000" w:rsidR="00000000" w:rsidRPr="00000000">
          <w:rPr>
            <w:rFonts w:ascii="Arial" w:cs="Arial" w:eastAsia="Arial" w:hAnsi="Arial"/>
            <w:color w:val="7834bc"/>
            <w:sz w:val="27"/>
            <w:szCs w:val="27"/>
            <w:u w:val="single"/>
            <w:rtl w:val="0"/>
          </w:rPr>
          <w:t xml:space="preserve">Guide T4012, T2 Corporation – Income Tax Guide</w:t>
        </w:r>
      </w:hyperlink>
      <w:r w:rsidDel="00000000" w:rsidR="00000000" w:rsidRPr="00000000">
        <w:rPr>
          <w:rtl w:val="0"/>
        </w:rPr>
      </w:r>
    </w:p>
    <w:p w:rsidR="00000000" w:rsidDel="00000000" w:rsidP="00000000" w:rsidRDefault="00000000" w:rsidRPr="00000000" w14:paraId="00000021">
      <w:pPr>
        <w:numPr>
          <w:ilvl w:val="0"/>
          <w:numId w:val="2"/>
        </w:numPr>
        <w:spacing w:after="0" w:afterAutospacing="0" w:before="0" w:lineRule="auto"/>
        <w:ind w:left="720" w:hanging="360"/>
        <w:jc w:val="left"/>
        <w:rPr>
          <w:rFonts w:ascii="Arial" w:cs="Arial" w:eastAsia="Arial" w:hAnsi="Arial"/>
          <w:color w:val="3d3d3d"/>
          <w:sz w:val="27"/>
          <w:szCs w:val="27"/>
        </w:rPr>
      </w:pPr>
      <w:hyperlink r:id="rId20">
        <w:r w:rsidDel="00000000" w:rsidR="00000000" w:rsidRPr="00000000">
          <w:rPr>
            <w:rFonts w:ascii="Arial" w:cs="Arial" w:eastAsia="Arial" w:hAnsi="Arial"/>
            <w:color w:val="7834bc"/>
            <w:sz w:val="27"/>
            <w:szCs w:val="27"/>
            <w:u w:val="single"/>
            <w:rtl w:val="0"/>
          </w:rPr>
          <w:t xml:space="preserve">T2 Corporation Income Tax Return</w:t>
        </w:r>
      </w:hyperlink>
      <w:r w:rsidDel="00000000" w:rsidR="00000000" w:rsidRPr="00000000">
        <w:rPr>
          <w:rtl w:val="0"/>
        </w:rPr>
      </w:r>
    </w:p>
    <w:p w:rsidR="00000000" w:rsidDel="00000000" w:rsidP="00000000" w:rsidRDefault="00000000" w:rsidRPr="00000000" w14:paraId="00000022">
      <w:pPr>
        <w:numPr>
          <w:ilvl w:val="0"/>
          <w:numId w:val="2"/>
        </w:numPr>
        <w:spacing w:after="0" w:afterAutospacing="0" w:before="0" w:lineRule="auto"/>
        <w:ind w:left="720" w:hanging="360"/>
        <w:jc w:val="left"/>
        <w:rPr>
          <w:rFonts w:ascii="Arial" w:cs="Arial" w:eastAsia="Arial" w:hAnsi="Arial"/>
          <w:color w:val="3d3d3d"/>
          <w:sz w:val="27"/>
          <w:szCs w:val="27"/>
        </w:rPr>
      </w:pPr>
      <w:hyperlink r:id="rId21">
        <w:r w:rsidDel="00000000" w:rsidR="00000000" w:rsidRPr="00000000">
          <w:rPr>
            <w:rFonts w:ascii="Arial" w:cs="Arial" w:eastAsia="Arial" w:hAnsi="Arial"/>
            <w:color w:val="7834bc"/>
            <w:sz w:val="27"/>
            <w:szCs w:val="27"/>
            <w:u w:val="single"/>
            <w:rtl w:val="0"/>
          </w:rPr>
          <w:t xml:space="preserve">Schedule 24, First Time Filer After Incorporation, Amalgamation or Winding-up of a Subsidiary Into a Parent</w:t>
        </w:r>
      </w:hyperlink>
      <w:r w:rsidDel="00000000" w:rsidR="00000000" w:rsidRPr="00000000">
        <w:rPr>
          <w:rtl w:val="0"/>
        </w:rPr>
      </w:r>
    </w:p>
    <w:p w:rsidR="00000000" w:rsidDel="00000000" w:rsidP="00000000" w:rsidRDefault="00000000" w:rsidRPr="00000000" w14:paraId="00000023">
      <w:pPr>
        <w:numPr>
          <w:ilvl w:val="0"/>
          <w:numId w:val="2"/>
        </w:numPr>
        <w:spacing w:after="0" w:afterAutospacing="0" w:before="0" w:lineRule="auto"/>
        <w:ind w:left="720" w:hanging="360"/>
        <w:jc w:val="left"/>
        <w:rPr>
          <w:rFonts w:ascii="Arial" w:cs="Arial" w:eastAsia="Arial" w:hAnsi="Arial"/>
          <w:color w:val="3d3d3d"/>
          <w:sz w:val="27"/>
          <w:szCs w:val="27"/>
        </w:rPr>
      </w:pPr>
      <w:hyperlink r:id="rId22">
        <w:r w:rsidDel="00000000" w:rsidR="00000000" w:rsidRPr="00000000">
          <w:rPr>
            <w:rFonts w:ascii="Arial" w:cs="Arial" w:eastAsia="Arial" w:hAnsi="Arial"/>
            <w:color w:val="7834bc"/>
            <w:sz w:val="27"/>
            <w:szCs w:val="27"/>
            <w:u w:val="single"/>
            <w:rtl w:val="0"/>
          </w:rPr>
          <w:t xml:space="preserve">Income Tax Folio S4-F7-C1, Amalgamations of Canadian Corporations</w:t>
        </w:r>
      </w:hyperlink>
      <w:r w:rsidDel="00000000" w:rsidR="00000000" w:rsidRPr="00000000">
        <w:rPr>
          <w:rtl w:val="0"/>
        </w:rPr>
      </w:r>
    </w:p>
    <w:p w:rsidR="00000000" w:rsidDel="00000000" w:rsidP="00000000" w:rsidRDefault="00000000" w:rsidRPr="00000000" w14:paraId="00000024">
      <w:pPr>
        <w:numPr>
          <w:ilvl w:val="0"/>
          <w:numId w:val="2"/>
        </w:numPr>
        <w:spacing w:after="180" w:before="0" w:lineRule="auto"/>
        <w:ind w:left="720" w:hanging="360"/>
        <w:jc w:val="left"/>
        <w:rPr>
          <w:rFonts w:ascii="Arial" w:cs="Arial" w:eastAsia="Arial" w:hAnsi="Arial"/>
          <w:color w:val="3d3d3d"/>
          <w:sz w:val="27"/>
          <w:szCs w:val="27"/>
        </w:rPr>
      </w:pPr>
      <w:hyperlink r:id="rId23">
        <w:r w:rsidDel="00000000" w:rsidR="00000000" w:rsidRPr="00000000">
          <w:rPr>
            <w:rFonts w:ascii="Arial" w:cs="Arial" w:eastAsia="Arial" w:hAnsi="Arial"/>
            <w:color w:val="7834bc"/>
            <w:sz w:val="27"/>
            <w:szCs w:val="27"/>
            <w:u w:val="single"/>
            <w:rtl w:val="0"/>
          </w:rPr>
          <w:t xml:space="preserve">Interpretation Bulletin IT-302, Losses of a Corporation – The Effect That Acquisitions of Control, Amalgamations, and Windings-Up Have on Their Deductibility – After January 15, 1987</w:t>
        </w:r>
      </w:hyperlink>
      <w:r w:rsidDel="00000000" w:rsidR="00000000" w:rsidRPr="00000000">
        <w:rPr>
          <w:rtl w:val="0"/>
        </w:rPr>
      </w:r>
    </w:p>
    <w:p w:rsidR="00000000" w:rsidDel="00000000" w:rsidP="00000000" w:rsidRDefault="00000000" w:rsidRPr="00000000" w14:paraId="00000025">
      <w:pPr>
        <w:pStyle w:val="Heading2"/>
        <w:spacing w:after="180" w:before="580" w:line="264" w:lineRule="auto"/>
        <w:rPr>
          <w:rFonts w:ascii="Lato" w:cs="Lato" w:eastAsia="Lato" w:hAnsi="Lato"/>
          <w:color w:val="3d3d3d"/>
          <w:sz w:val="61"/>
          <w:szCs w:val="61"/>
        </w:rPr>
      </w:pPr>
      <w:bookmarkStart w:colFirst="0" w:colLast="0" w:name="_pa3cdej7hji1" w:id="7"/>
      <w:bookmarkEnd w:id="7"/>
      <w:r w:rsidDel="00000000" w:rsidR="00000000" w:rsidRPr="00000000">
        <w:rPr>
          <w:rFonts w:ascii="Lato" w:cs="Lato" w:eastAsia="Lato" w:hAnsi="Lato"/>
          <w:color w:val="3d3d3d"/>
          <w:sz w:val="61"/>
          <w:szCs w:val="61"/>
          <w:rtl w:val="0"/>
        </w:rPr>
        <w:t xml:space="preserve">Related topics</w:t>
      </w:r>
    </w:p>
    <w:p w:rsidR="00000000" w:rsidDel="00000000" w:rsidP="00000000" w:rsidRDefault="00000000" w:rsidRPr="00000000" w14:paraId="00000026">
      <w:pPr>
        <w:numPr>
          <w:ilvl w:val="0"/>
          <w:numId w:val="3"/>
        </w:numPr>
        <w:spacing w:after="0" w:afterAutospacing="0" w:before="0" w:lineRule="auto"/>
        <w:ind w:left="720" w:hanging="360"/>
        <w:jc w:val="left"/>
        <w:rPr>
          <w:rFonts w:ascii="Arial" w:cs="Arial" w:eastAsia="Arial" w:hAnsi="Arial"/>
          <w:color w:val="3d3d3d"/>
          <w:sz w:val="27"/>
          <w:szCs w:val="27"/>
        </w:rPr>
      </w:pPr>
      <w:hyperlink r:id="rId24">
        <w:r w:rsidDel="00000000" w:rsidR="00000000" w:rsidRPr="00000000">
          <w:rPr>
            <w:rFonts w:ascii="Arial" w:cs="Arial" w:eastAsia="Arial" w:hAnsi="Arial"/>
            <w:color w:val="7834bc"/>
            <w:sz w:val="27"/>
            <w:szCs w:val="27"/>
            <w:u w:val="single"/>
            <w:rtl w:val="0"/>
          </w:rPr>
          <w:t xml:space="preserve">Amalgamating or merging and the GST/HST account</w:t>
        </w:r>
      </w:hyperlink>
      <w:r w:rsidDel="00000000" w:rsidR="00000000" w:rsidRPr="00000000">
        <w:rPr>
          <w:rtl w:val="0"/>
        </w:rPr>
      </w:r>
    </w:p>
    <w:p w:rsidR="00000000" w:rsidDel="00000000" w:rsidP="00000000" w:rsidRDefault="00000000" w:rsidRPr="00000000" w14:paraId="00000027">
      <w:pPr>
        <w:numPr>
          <w:ilvl w:val="0"/>
          <w:numId w:val="3"/>
        </w:numPr>
        <w:spacing w:after="180" w:before="0" w:lineRule="auto"/>
        <w:ind w:left="720" w:hanging="360"/>
        <w:jc w:val="left"/>
        <w:rPr>
          <w:rFonts w:ascii="Arial" w:cs="Arial" w:eastAsia="Arial" w:hAnsi="Arial"/>
          <w:color w:val="3d3d3d"/>
          <w:sz w:val="27"/>
          <w:szCs w:val="27"/>
        </w:rPr>
      </w:pPr>
      <w:hyperlink r:id="rId25">
        <w:r w:rsidDel="00000000" w:rsidR="00000000" w:rsidRPr="00000000">
          <w:rPr>
            <w:rFonts w:ascii="Arial" w:cs="Arial" w:eastAsia="Arial" w:hAnsi="Arial"/>
            <w:color w:val="7834bc"/>
            <w:sz w:val="27"/>
            <w:szCs w:val="27"/>
            <w:u w:val="single"/>
            <w:rtl w:val="0"/>
          </w:rPr>
          <w:t xml:space="preserve">Guide on amalgamating business corporations</w:t>
        </w:r>
      </w:hyperlink>
      <w:r w:rsidDel="00000000" w:rsidR="00000000" w:rsidRPr="00000000">
        <w:rPr>
          <w:rtl w:val="0"/>
        </w:rPr>
      </w:r>
    </w:p>
    <w:p w:rsidR="00000000" w:rsidDel="00000000" w:rsidP="00000000" w:rsidRDefault="00000000" w:rsidRPr="00000000" w14:paraId="00000028">
      <w:pPr>
        <w:spacing w:before="0" w:lineRule="auto"/>
        <w:rPr>
          <w:rFonts w:ascii="Arial" w:cs="Arial" w:eastAsia="Arial" w:hAnsi="Arial"/>
          <w:color w:val="3d3d3d"/>
          <w:sz w:val="24"/>
          <w:szCs w:val="24"/>
        </w:rPr>
      </w:pPr>
      <w:r w:rsidDel="00000000" w:rsidR="00000000" w:rsidRPr="00000000">
        <w:rPr>
          <w:rFonts w:ascii="Arial" w:cs="Arial" w:eastAsia="Arial" w:hAnsi="Arial"/>
          <w:color w:val="3d3d3d"/>
          <w:sz w:val="24"/>
          <w:szCs w:val="24"/>
          <w:rtl w:val="0"/>
        </w:rPr>
        <w:t xml:space="preserve"> </w:t>
      </w:r>
      <w:r w:rsidDel="00000000" w:rsidR="00000000" w:rsidRPr="00000000">
        <w:rPr>
          <w:rtl w:val="0"/>
        </w:rPr>
      </w:r>
    </w:p>
    <w:p w:rsidR="00000000" w:rsidDel="00000000" w:rsidP="00000000" w:rsidRDefault="00000000" w:rsidRPr="00000000" w14:paraId="00000029">
      <w:pPr>
        <w:spacing w:before="0" w:lineRule="auto"/>
        <w:rPr>
          <w:rFonts w:ascii="Arial" w:cs="Arial" w:eastAsia="Arial" w:hAnsi="Arial"/>
          <w:color w:val="3d3d3d"/>
          <w:sz w:val="27"/>
          <w:szCs w:val="27"/>
        </w:rPr>
      </w:pP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anada.ca/en/revenue-agency/services/forms-publications/forms/t2.html" TargetMode="External"/><Relationship Id="rId22" Type="http://schemas.openxmlformats.org/officeDocument/2006/relationships/hyperlink" Target="https://www.canada.ca/en/revenue-agency/services/tax/technical-information/income-tax/income-tax-folios-index/series-4-businesses/series-4-businesses-folio-7-wind-dissolutions-amalgamations/income-tax-folio-s4-f7-c1-amalgamations-canadian-corporations.html" TargetMode="External"/><Relationship Id="rId21" Type="http://schemas.openxmlformats.org/officeDocument/2006/relationships/hyperlink" Target="https://www.canada.ca/en/revenue-agency/services/forms-publications/forms/t2sch24.html" TargetMode="External"/><Relationship Id="rId24" Type="http://schemas.openxmlformats.org/officeDocument/2006/relationships/hyperlink" Target="https://www.canada.ca/en/revenue-agency/services/tax/businesses/topics/gst-hst-businesses/account-close.html#mrgngmlgmtng" TargetMode="External"/><Relationship Id="rId23" Type="http://schemas.openxmlformats.org/officeDocument/2006/relationships/hyperlink" Target="https://www.canada.ca/en/revenue-agency/services/forms-publications/publications/it302r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ada.ca/en/revenue-agency/corporate/contact-information/tax-services-offices-tax-centres.html" TargetMode="External"/><Relationship Id="rId26" Type="http://schemas.openxmlformats.org/officeDocument/2006/relationships/header" Target="header1.xml"/><Relationship Id="rId25" Type="http://schemas.openxmlformats.org/officeDocument/2006/relationships/hyperlink" Target="https://ised-isde.canada.ca/site/corporations-canada/en/business-corporations/guide-amalgamating-business-corporations" TargetMode="External"/><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canada.ca/en/revenue-agency/services/tax/businesses/definitions-letter-a-business.html#Crprtn" TargetMode="External"/><Relationship Id="rId29" Type="http://schemas.openxmlformats.org/officeDocument/2006/relationships/footer" Target="footer1.xml"/><Relationship Id="rId7" Type="http://schemas.openxmlformats.org/officeDocument/2006/relationships/hyperlink" Target="https://ised-isde.canada.ca/site/corporations-canada/en" TargetMode="External"/><Relationship Id="rId8" Type="http://schemas.openxmlformats.org/officeDocument/2006/relationships/hyperlink" Target="https://www.canada.ca/en/revenue-agency/services/tax/businesses/related-provincial-territorial-government-sites.html" TargetMode="External"/><Relationship Id="rId11" Type="http://schemas.openxmlformats.org/officeDocument/2006/relationships/hyperlink" Target="https://www.canada.ca/en/revenue-agency/services/tax/businesses/topics/registering-your-business/corporation-income-tax-program-account.html" TargetMode="External"/><Relationship Id="rId10" Type="http://schemas.openxmlformats.org/officeDocument/2006/relationships/hyperlink" Target="https://www.canada.ca/en/revenue-agency/services/tax/businesses/definitions-letter-a-business.html#bsnss_nmbr" TargetMode="External"/><Relationship Id="rId13" Type="http://schemas.openxmlformats.org/officeDocument/2006/relationships/hyperlink" Target="https://www.canada.ca/en/revenue-agency/services/tax/businesses/topics/corporations/corporation-payments/paying-instalments/rules-special-situations.html#mlgmtns" TargetMode="External"/><Relationship Id="rId12" Type="http://schemas.openxmlformats.org/officeDocument/2006/relationships/hyperlink" Target="https://www.canada.ca/en/revenue-agency/corporate/contact-information/tax-services-offices-tax-centres.html" TargetMode="External"/><Relationship Id="rId15" Type="http://schemas.openxmlformats.org/officeDocument/2006/relationships/hyperlink" Target="https://www.canada.ca/en/revenue-agency/services/tax/technical-information/income-tax/income-tax-folios-index/series-4-businesses/series-4-businesses-folio-7-wind-dissolutions-amalgamations/income-tax-folio-s4-f7-c1-amalgamations-canadian-corporations.html" TargetMode="External"/><Relationship Id="rId14" Type="http://schemas.openxmlformats.org/officeDocument/2006/relationships/hyperlink" Target="https://www.canada.ca/en/revenue-agency/services/tax/businesses/topics/corporations/corporation-payments/paying-your-balance-corporation-tax.html#mlgmtns" TargetMode="External"/><Relationship Id="rId17" Type="http://schemas.openxmlformats.org/officeDocument/2006/relationships/hyperlink" Target="https://www.canada.ca/en/revenue-agency/services/forms-publications/forms/t2sch24.html" TargetMode="External"/><Relationship Id="rId16" Type="http://schemas.openxmlformats.org/officeDocument/2006/relationships/hyperlink" Target="https://www.canada.ca/en/revenue-agency/services/forms-publications/publications/t4012.html" TargetMode="External"/><Relationship Id="rId19" Type="http://schemas.openxmlformats.org/officeDocument/2006/relationships/hyperlink" Target="https://www.canada.ca/en/revenue-agency/services/forms-publications/publications/t4012.html" TargetMode="External"/><Relationship Id="rId18" Type="http://schemas.openxmlformats.org/officeDocument/2006/relationships/hyperlink" Target="https://www.canada.ca/en/revenue-agency/services/forms-publications/forms/t2.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