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[Corporate] Law - Shareholder Agreement -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08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Subject Matter of Agreements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OBCA permits a broad range of other matters to be specifically addressed in a unanimous shareholder agreement. Such an agreement may: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require a greater number of votes to approve a measure than would otherwise be required under the OBCA (OBCA, s.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(4));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place controls on the issue of shares (OBCA, s.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create a pre-emptive right with respect to the issue of new shares (OBCA, s.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26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vary the procedure for the payment of dividends (OBCA, 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38</w:t>
        </w:r>
      </w:hyperlink>
      <w:r w:rsidDel="00000000" w:rsidR="00000000" w:rsidRPr="00000000">
        <w:rPr>
          <w:rtl w:val="0"/>
        </w:rPr>
        <w:t xml:space="preserve">(1));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specify the place where a meeting of shareholders is to be held (OBCA, s.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93</w:t>
        </w:r>
      </w:hyperlink>
      <w:r w:rsidDel="00000000" w:rsidR="00000000" w:rsidRPr="00000000">
        <w:rPr>
          <w:rtl w:val="0"/>
        </w:rPr>
        <w:t xml:space="preserve">(1));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specify the manner in which a meeting of shareholders is to be conducted (OBCA, s.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97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specify a procedure for amending the agreement itself (OBCA, 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108</w:t>
        </w:r>
      </w:hyperlink>
      <w:r w:rsidDel="00000000" w:rsidR="00000000" w:rsidRPr="00000000">
        <w:rPr>
          <w:rtl w:val="0"/>
        </w:rPr>
        <w:t xml:space="preserve">(6));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vary the procedure for the making of by-laws (OBCA, s.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116</w:t>
        </w:r>
      </w:hyperlink>
      <w:r w:rsidDel="00000000" w:rsidR="00000000" w:rsidRPr="00000000">
        <w:rPr>
          <w:rtl w:val="0"/>
        </w:rPr>
        <w:t xml:space="preserve">(1));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make provision with respect to director, officer, and employee remuneration (OBCA, s.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137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require the disclosure of additional information (OBCA, s.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154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control borrowing by the corporation (OBCA, s.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184</w:t>
        </w:r>
      </w:hyperlink>
      <w:r w:rsidDel="00000000" w:rsidR="00000000" w:rsidRPr="00000000">
        <w:rPr>
          <w:rtl w:val="0"/>
        </w:rPr>
        <w:t xml:space="preserve">(1)); 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control delegation of authority by the directors (OBCA, s.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184</w:t>
        </w:r>
      </w:hyperlink>
      <w:r w:rsidDel="00000000" w:rsidR="00000000" w:rsidRPr="00000000">
        <w:rPr>
          <w:rtl w:val="0"/>
        </w:rPr>
        <w:t xml:space="preserve">(2)).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 is also common for a shareholder agreement to deal with a wide range of issues that either bind the shareholders themselves or that create additional rights in their favour. By way of illustration, such agreements may confer a right: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 to require the interest of a shareholder to be bought out upon the occurrence of specified events;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 to representation upon the board of directors;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 to veto any change in the share structure of the corporation;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 to match or better any price offered by another bidder for shares;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 to approve significant transactions; or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• to control security transfer or buyout rights</w:t>
      </w:r>
    </w:p>
    <w:sectPr>
      <w:headerReference r:id="rId19" w:type="default"/>
      <w:headerReference r:id="rId20" w:type="first"/>
      <w:footerReference r:id="rId2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0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2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5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4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7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6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mailto:office@levinelegal.ca" TargetMode="External"/><Relationship Id="rId18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7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8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