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3"/>
        </w:numPr>
        <w:ind w:left="720" w:hanging="360"/>
      </w:pPr>
      <w:r w:rsidDel="00000000" w:rsidR="00000000" w:rsidRPr="00000000">
        <w:rPr>
          <w:rtl w:val="0"/>
        </w:rPr>
        <w:t xml:space="preserve">(x) "Disqualified Shareholder" means a Shareholder that (i) becomes incapable of performing their duties as a director or officer of the Corporation by reason of sickness, injury or any other mental or physical incapacity, and it appears that the Shareholder will not recover so as to be able to perform those duties within 90 days; or (ii) becomes an officer, employee or director of any corporation or other business enterprise in competition with the Corporation, or they enter into business in competition with the Corporation. The term "Disqualified Shareholder" includes any executor, administrator, guardian, committee, liquidator, receiver, trustee or other legal representative or person empowered at law to dispose of the property of the Disqualified Shareholder.</w:t>
      </w:r>
    </w:p>
    <w:p w:rsidR="00000000" w:rsidDel="00000000" w:rsidP="00000000" w:rsidRDefault="00000000" w:rsidRPr="00000000" w14:paraId="00000002">
      <w:pPr>
        <w:pBdr>
          <w:top w:color="auto" w:space="0" w:sz="0" w:val="none"/>
          <w:bottom w:color="auto" w:space="0" w:sz="0" w:val="none"/>
          <w:right w:color="auto" w:space="0" w:sz="0" w:val="none"/>
          <w:between w:color="auto" w:space="0" w:sz="0" w:val="none"/>
        </w:pBdr>
        <w:shd w:fill="ffffff" w:val="clear"/>
        <w:spacing w:after="340" w:before="340" w:line="408" w:lineRule="auto"/>
        <w:ind w:left="0" w:firstLine="0"/>
        <w:rPr>
          <w:rFonts w:ascii="Verdana" w:cs="Verdana" w:eastAsia="Verdana" w:hAnsi="Verdana"/>
          <w:color w:val="212121"/>
          <w:sz w:val="18"/>
          <w:szCs w:val="18"/>
        </w:rPr>
      </w:pPr>
      <w:r w:rsidDel="00000000" w:rsidR="00000000" w:rsidRPr="00000000">
        <w:rPr>
          <w:rtl w:val="0"/>
        </w:rPr>
      </w:r>
    </w:p>
    <w:p w:rsidR="00000000" w:rsidDel="00000000" w:rsidP="00000000" w:rsidRDefault="00000000" w:rsidRPr="00000000" w14:paraId="00000003">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340" w:line="408" w:lineRule="auto"/>
        <w:ind w:left="720" w:hanging="360"/>
      </w:pPr>
      <w:r w:rsidDel="00000000" w:rsidR="00000000" w:rsidRPr="00000000">
        <w:rPr>
          <w:rtl w:val="0"/>
        </w:rPr>
      </w:r>
    </w:p>
    <w:p w:rsidR="00000000" w:rsidDel="00000000" w:rsidP="00000000" w:rsidRDefault="00000000" w:rsidRPr="00000000" w14:paraId="00000004">
      <w:pPr>
        <w:numPr>
          <w:ilvl w:val="0"/>
          <w:numId w:val="3"/>
        </w:numPr>
        <w:pBdr>
          <w:top w:color="auto" w:space="0" w:sz="0" w:val="none"/>
          <w:bottom w:color="auto" w:space="0" w:sz="0" w:val="none"/>
          <w:right w:color="auto" w:space="0" w:sz="0" w:val="none"/>
          <w:between w:color="auto" w:space="0" w:sz="0" w:val="none"/>
        </w:pBdr>
        <w:shd w:fill="ffffff" w:val="clear"/>
        <w:spacing w:after="340" w:before="0" w:beforeAutospacing="0" w:line="408" w:lineRule="auto"/>
        <w:ind w:left="720" w:hanging="360"/>
      </w:pPr>
      <w:r w:rsidDel="00000000" w:rsidR="00000000" w:rsidRPr="00000000">
        <w:rPr>
          <w:rtl w:val="0"/>
        </w:rPr>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shd w:fill="ffffff" w:val="clear"/>
        <w:spacing w:after="340" w:before="340" w:line="408" w:lineRule="auto"/>
        <w:ind w:left="0" w:firstLine="0"/>
        <w:rPr>
          <w:rFonts w:ascii="Verdana" w:cs="Verdana" w:eastAsia="Verdana" w:hAnsi="Verdana"/>
          <w:b w:val="1"/>
          <w:bCs w:val="1"/>
          <w:color w:val="212121"/>
          <w:sz w:val="18"/>
          <w:szCs w:val="18"/>
        </w:rPr>
      </w:pPr>
      <w:r w:rsidDel="00000000" w:rsidR="00000000" w:rsidRPr="00000000">
        <w:rPr>
          <w:rFonts w:ascii="Verdana" w:cs="Verdana" w:eastAsia="Verdana" w:hAnsi="Verdana"/>
          <w:color w:val="212121"/>
          <w:sz w:val="18"/>
          <w:szCs w:val="18"/>
          <w:rtl w:val="0"/>
        </w:rPr>
        <w:t xml:space="preserve">9.</w:t>
        <w:tab/>
      </w:r>
      <w:r w:rsidDel="00000000" w:rsidR="00000000" w:rsidRPr="00000000">
        <w:rPr>
          <w:rFonts w:ascii="Verdana" w:cs="Verdana" w:eastAsia="Verdana" w:hAnsi="Verdana"/>
          <w:b w:val="1"/>
          <w:bCs w:val="1"/>
          <w:color w:val="212121"/>
          <w:sz w:val="18"/>
          <w:szCs w:val="18"/>
          <w:rtl w:val="0"/>
        </w:rPr>
        <w:t xml:space="preserve">Mandatory Transfer by Minority Shareholder </w:t>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spacing w:after="680" w:before="680" w:line="408" w:lineRule="auto"/>
        <w:ind w:left="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 If a Minority Shareholder (in this para. </w:t>
      </w:r>
      <w:r w:rsidDel="00000000" w:rsidR="00000000" w:rsidRPr="00000000">
        <w:rPr>
          <w:rFonts w:ascii="Verdana" w:cs="Verdana" w:eastAsia="Verdana" w:hAnsi="Verdana"/>
          <w:color w:val="212121"/>
          <w:sz w:val="18"/>
          <w:szCs w:val="18"/>
          <w:rtl w:val="0"/>
        </w:rPr>
        <w:t xml:space="preserve">9.</w:t>
      </w:r>
      <w:r w:rsidDel="00000000" w:rsidR="00000000" w:rsidRPr="00000000">
        <w:rPr>
          <w:rFonts w:ascii="Verdana" w:cs="Verdana" w:eastAsia="Verdana" w:hAnsi="Verdana"/>
          <w:color w:val="212121"/>
          <w:sz w:val="18"/>
          <w:szCs w:val="18"/>
          <w:rtl w:val="0"/>
        </w:rPr>
        <w:t xml:space="preserve">a “Disqualified Minority Shareholder”, then the other Shareholders of the Corporation may by </w:t>
      </w:r>
      <w:r w:rsidDel="00000000" w:rsidR="00000000" w:rsidRPr="00000000">
        <w:rPr>
          <w:rFonts w:ascii="Verdana" w:cs="Verdana" w:eastAsia="Verdana" w:hAnsi="Verdana"/>
          <w:b w:val="1"/>
          <w:bCs w:val="1"/>
          <w:color w:val="212121"/>
          <w:sz w:val="18"/>
          <w:szCs w:val="18"/>
          <w:shd w:fill="fff099" w:val="clear"/>
          <w:rtl w:val="0"/>
        </w:rPr>
        <w:t xml:space="preserve">unanimous</w:t>
      </w:r>
      <w:r w:rsidDel="00000000" w:rsidR="00000000" w:rsidRPr="00000000">
        <w:rPr>
          <w:rFonts w:ascii="Verdana" w:cs="Verdana" w:eastAsia="Verdana" w:hAnsi="Verdana"/>
          <w:color w:val="212121"/>
          <w:sz w:val="18"/>
          <w:szCs w:val="18"/>
          <w:rtl w:val="0"/>
        </w:rPr>
        <w:t xml:space="preserve"> resolution among themselves (with or without notice to the Disqualified Minority Shareholder concerned) require that Disqualified Minority Shareholder to sell all of their Shares in the Corporation to the other Shareholders in proportion to the number of Shares held respectively by each of them as of the date of that resolution, provided that if all the Shares concerned are not capable of being offered to or being divided among the Shareholders in exact proportion according to their existing holding of Shares of the class concerned, the Shares shall be offered in as near a proportion of whole Shares as is possible and the balance shall be offered to or divided among the Shareholders or some of them in such manner as may be determined by the Shareholders.</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spacing w:after="680" w:before="680" w:line="408" w:lineRule="auto"/>
        <w:ind w:left="0" w:firstLine="0"/>
        <w:rPr>
          <w:rFonts w:ascii="Verdana" w:cs="Verdana" w:eastAsia="Verdana" w:hAnsi="Verdana"/>
          <w:color w:val="006ebb"/>
          <w:sz w:val="18"/>
          <w:szCs w:val="18"/>
          <w:u w:val="single"/>
        </w:rPr>
      </w:pPr>
      <w:r w:rsidDel="00000000" w:rsidR="00000000" w:rsidRPr="00000000">
        <w:rPr>
          <w:rFonts w:ascii="Verdana" w:cs="Verdana" w:eastAsia="Verdana" w:hAnsi="Verdana"/>
          <w:color w:val="212121"/>
          <w:sz w:val="18"/>
          <w:szCs w:val="18"/>
          <w:rtl w:val="0"/>
        </w:rPr>
        <w:t xml:space="preserve">(b) Each Disqualified Minority Shareholder shall give written notice to the Corporation promptly following the occurrence of an event that makes them a Disqualified Minority Shareholder. It being understood that, regardless of the delivery or receipt of the Disqualified Minority Shareholder's written notice, once the Shareholders know that a Minority Shareholder became a Disqualified Minority Shareholder, the Shareholders may proceed to require the sale of the Shares of the Disqualified Shareholder as provided in this para. </w:t>
      </w:r>
      <w:hyperlink r:id="rId6">
        <w:r w:rsidDel="00000000" w:rsidR="00000000" w:rsidRPr="00000000">
          <w:rPr>
            <w:rFonts w:ascii="Verdana" w:cs="Verdana" w:eastAsia="Verdana" w:hAnsi="Verdana"/>
            <w:color w:val="006ebb"/>
            <w:sz w:val="18"/>
            <w:szCs w:val="18"/>
            <w:u w:val="single"/>
            <w:rtl w:val="0"/>
          </w:rPr>
          <w:t xml:space="preserve">9.</w:t>
        </w:r>
      </w:hyperlink>
      <w:r w:rsidDel="00000000" w:rsidR="00000000" w:rsidRPr="00000000">
        <w:rPr>
          <w:rtl w:val="0"/>
        </w:rPr>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spacing w:after="680" w:before="680" w:line="408" w:lineRule="auto"/>
        <w:ind w:left="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(c) Once the resolution under para. </w:t>
      </w:r>
      <w:hyperlink r:id="rId7">
        <w:r w:rsidDel="00000000" w:rsidR="00000000" w:rsidRPr="00000000">
          <w:rPr>
            <w:rFonts w:ascii="Verdana" w:cs="Verdana" w:eastAsia="Verdana" w:hAnsi="Verdana"/>
            <w:color w:val="006ebb"/>
            <w:sz w:val="18"/>
            <w:szCs w:val="18"/>
            <w:u w:val="single"/>
            <w:rtl w:val="0"/>
          </w:rPr>
          <w:t xml:space="preserve">9.(a)</w:t>
        </w:r>
      </w:hyperlink>
      <w:r w:rsidDel="00000000" w:rsidR="00000000" w:rsidRPr="00000000">
        <w:rPr>
          <w:rFonts w:ascii="Verdana" w:cs="Verdana" w:eastAsia="Verdana" w:hAnsi="Verdana"/>
          <w:color w:val="212121"/>
          <w:sz w:val="18"/>
          <w:szCs w:val="18"/>
          <w:rtl w:val="0"/>
        </w:rPr>
        <w:t xml:space="preserve"> has been passed, the Shareholders and the Corporation shall promptly give written notice to the Disqualified Minority Shareholder advising them that the valuation process for the Shares under para. </w:t>
      </w:r>
      <w:hyperlink r:id="rId8">
        <w:r w:rsidDel="00000000" w:rsidR="00000000" w:rsidRPr="00000000">
          <w:rPr>
            <w:rFonts w:ascii="Verdana" w:cs="Verdana" w:eastAsia="Verdana" w:hAnsi="Verdana"/>
            <w:color w:val="006ebb"/>
            <w:sz w:val="18"/>
            <w:szCs w:val="18"/>
            <w:u w:val="single"/>
            <w:rtl w:val="0"/>
          </w:rPr>
          <w:t xml:space="preserve">9.(d)</w:t>
        </w:r>
      </w:hyperlink>
      <w:r w:rsidDel="00000000" w:rsidR="00000000" w:rsidRPr="00000000">
        <w:rPr>
          <w:rFonts w:ascii="Verdana" w:cs="Verdana" w:eastAsia="Verdana" w:hAnsi="Verdana"/>
          <w:color w:val="212121"/>
          <w:sz w:val="18"/>
          <w:szCs w:val="18"/>
          <w:rtl w:val="0"/>
        </w:rPr>
        <w:t xml:space="preserve"> has begun and that the Disqualified Minority Shareholder shall transfer the Shares to the Shareholders in accordance to this Agreement upon payment of the price determined pursuant to para. </w:t>
      </w:r>
      <w:hyperlink r:id="rId9">
        <w:r w:rsidDel="00000000" w:rsidR="00000000" w:rsidRPr="00000000">
          <w:rPr>
            <w:rFonts w:ascii="Verdana" w:cs="Verdana" w:eastAsia="Verdana" w:hAnsi="Verdana"/>
            <w:color w:val="006ebb"/>
            <w:sz w:val="18"/>
            <w:szCs w:val="18"/>
            <w:u w:val="single"/>
            <w:rtl w:val="0"/>
          </w:rPr>
          <w:t xml:space="preserve">9.(d)</w:t>
        </w:r>
      </w:hyperlink>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spacing w:after="680" w:before="680" w:line="408" w:lineRule="auto"/>
        <w:ind w:left="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(d) The price to be paid for any Shares to be purchased under this para. </w:t>
      </w:r>
      <w:hyperlink r:id="rId10">
        <w:r w:rsidDel="00000000" w:rsidR="00000000" w:rsidRPr="00000000">
          <w:rPr>
            <w:rFonts w:ascii="Verdana" w:cs="Verdana" w:eastAsia="Verdana" w:hAnsi="Verdana"/>
            <w:color w:val="006ebb"/>
            <w:sz w:val="18"/>
            <w:szCs w:val="18"/>
            <w:u w:val="single"/>
            <w:rtl w:val="0"/>
          </w:rPr>
          <w:t xml:space="preserve">9.</w:t>
        </w:r>
      </w:hyperlink>
      <w:r w:rsidDel="00000000" w:rsidR="00000000" w:rsidRPr="00000000">
        <w:rPr>
          <w:rFonts w:ascii="Verdana" w:cs="Verdana" w:eastAsia="Verdana" w:hAnsi="Verdana"/>
          <w:color w:val="212121"/>
          <w:sz w:val="18"/>
          <w:szCs w:val="18"/>
          <w:rtl w:val="0"/>
        </w:rPr>
        <w:t xml:space="preserve"> shall be determined as follows:</w:t>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spacing w:after="680" w:before="680" w:line="408" w:lineRule="auto"/>
        <w:ind w:left="72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(i) At the expense of the Shareholders, the Accountant of the Corporation shall prepare and complete a Financial Statement of the Corporation computed as of a date no more than 30 days prior to the date on which the resolution under para. </w:t>
      </w:r>
      <w:hyperlink r:id="rId11">
        <w:r w:rsidDel="00000000" w:rsidR="00000000" w:rsidRPr="00000000">
          <w:rPr>
            <w:rFonts w:ascii="Verdana" w:cs="Verdana" w:eastAsia="Verdana" w:hAnsi="Verdana"/>
            <w:color w:val="006ebb"/>
            <w:sz w:val="18"/>
            <w:szCs w:val="18"/>
            <w:u w:val="single"/>
            <w:rtl w:val="0"/>
          </w:rPr>
          <w:t xml:space="preserve">9.(a)</w:t>
        </w:r>
      </w:hyperlink>
      <w:r w:rsidDel="00000000" w:rsidR="00000000" w:rsidRPr="00000000">
        <w:rPr>
          <w:rFonts w:ascii="Verdana" w:cs="Verdana" w:eastAsia="Verdana" w:hAnsi="Verdana"/>
          <w:color w:val="212121"/>
          <w:sz w:val="18"/>
          <w:szCs w:val="18"/>
          <w:rtl w:val="0"/>
        </w:rPr>
        <w:t xml:space="preserve"> is passed, and for that purpose the Accountant shall have access to all books and records of the Corporation.</w:t>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spacing w:after="680" w:before="680" w:line="408" w:lineRule="auto"/>
        <w:ind w:left="72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(ii) A copy of such Financial Statement shall be furnished to each of the Shareholders (including each Disqualified Minority Shareholder) as well as to the Corporation forthwith upon its completion by the Accountant, and all parties shall be bound by the Financial Statements unless an objection is made in accordance with para. </w:t>
      </w:r>
      <w:hyperlink r:id="rId12">
        <w:r w:rsidDel="00000000" w:rsidR="00000000" w:rsidRPr="00000000">
          <w:rPr>
            <w:rFonts w:ascii="Verdana" w:cs="Verdana" w:eastAsia="Verdana" w:hAnsi="Verdana"/>
            <w:color w:val="006ebb"/>
            <w:sz w:val="18"/>
            <w:szCs w:val="18"/>
            <w:u w:val="single"/>
            <w:rtl w:val="0"/>
          </w:rPr>
          <w:t xml:space="preserve">9.(d)(iii)</w:t>
        </w:r>
      </w:hyperlink>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spacing w:after="680" w:before="680" w:line="408" w:lineRule="auto"/>
        <w:ind w:left="72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(iii) A party may object to the Financial Statements prepared by the Accountant by giving written notice of that objection to the Accountant and to the Corporation no later than ten (10) Business Days following the date on which a copy of the Financial Statement is given to that party, setting out the grounds of objection with sufficient particularity to enable the Accountant and the Corporation to respond thereto.</w:t>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spacing w:after="680" w:before="680" w:line="408" w:lineRule="auto"/>
        <w:ind w:left="72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(iv) Where an objection is made under para. </w:t>
      </w:r>
      <w:hyperlink r:id="rId13">
        <w:r w:rsidDel="00000000" w:rsidR="00000000" w:rsidRPr="00000000">
          <w:rPr>
            <w:rFonts w:ascii="Verdana" w:cs="Verdana" w:eastAsia="Verdana" w:hAnsi="Verdana"/>
            <w:color w:val="006ebb"/>
            <w:sz w:val="18"/>
            <w:szCs w:val="18"/>
            <w:u w:val="single"/>
            <w:rtl w:val="0"/>
          </w:rPr>
          <w:t xml:space="preserve">9.(d)(iii)</w:t>
        </w:r>
      </w:hyperlink>
      <w:r w:rsidDel="00000000" w:rsidR="00000000" w:rsidRPr="00000000">
        <w:rPr>
          <w:rFonts w:ascii="Verdana" w:cs="Verdana" w:eastAsia="Verdana" w:hAnsi="Verdana"/>
          <w:color w:val="212121"/>
          <w:sz w:val="18"/>
          <w:szCs w:val="18"/>
          <w:rtl w:val="0"/>
        </w:rPr>
        <w:t xml:space="preserve">, the Accountant shall reconsider the Financial Statement concerned, and where the Accountant considers it appropriate to do so may revise the same, provided that the Accountant shall have the sole and final decision (in the absence of manifest error or proof of wrong-doing) as to whether any such revision is necessary.</w:t>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spacing w:after="680" w:before="680" w:line="408" w:lineRule="auto"/>
        <w:ind w:left="72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(v) The price of the Shares shall be the book value thereof as determined by reference to the Financial Statements prepared by the Accountant.</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pacing w:after="680" w:before="680" w:line="408" w:lineRule="auto"/>
        <w:ind w:left="72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(vi) Subject to para. </w:t>
      </w:r>
      <w:hyperlink r:id="rId14">
        <w:r w:rsidDel="00000000" w:rsidR="00000000" w:rsidRPr="00000000">
          <w:rPr>
            <w:rFonts w:ascii="Verdana" w:cs="Verdana" w:eastAsia="Verdana" w:hAnsi="Verdana"/>
            <w:color w:val="006ebb"/>
            <w:sz w:val="18"/>
            <w:szCs w:val="18"/>
            <w:u w:val="single"/>
            <w:rtl w:val="0"/>
          </w:rPr>
          <w:t xml:space="preserve">9.(d)(vii)</w:t>
        </w:r>
      </w:hyperlink>
      <w:r w:rsidDel="00000000" w:rsidR="00000000" w:rsidRPr="00000000">
        <w:rPr>
          <w:rFonts w:ascii="Verdana" w:cs="Verdana" w:eastAsia="Verdana" w:hAnsi="Verdana"/>
          <w:color w:val="212121"/>
          <w:sz w:val="18"/>
          <w:szCs w:val="18"/>
          <w:rtl w:val="0"/>
        </w:rPr>
        <w:t xml:space="preserve"> all financial statements prepared under this para. </w:t>
      </w:r>
      <w:hyperlink r:id="rId15">
        <w:r w:rsidDel="00000000" w:rsidR="00000000" w:rsidRPr="00000000">
          <w:rPr>
            <w:rFonts w:ascii="Verdana" w:cs="Verdana" w:eastAsia="Verdana" w:hAnsi="Verdana"/>
            <w:color w:val="006ebb"/>
            <w:sz w:val="18"/>
            <w:szCs w:val="18"/>
            <w:u w:val="single"/>
            <w:rtl w:val="0"/>
          </w:rPr>
          <w:t xml:space="preserve">9.</w:t>
        </w:r>
      </w:hyperlink>
      <w:r w:rsidDel="00000000" w:rsidR="00000000" w:rsidRPr="00000000">
        <w:rPr>
          <w:rFonts w:ascii="Verdana" w:cs="Verdana" w:eastAsia="Verdana" w:hAnsi="Verdana"/>
          <w:color w:val="212121"/>
          <w:sz w:val="18"/>
          <w:szCs w:val="18"/>
          <w:rtl w:val="0"/>
        </w:rPr>
        <w:t xml:space="preserve"> shall be prepared in accordance with generally accepted accounting principles as recognized in Canada and consistently applied, but no allowance shall be made for appreciation in goodwill.</w:t>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pacing w:after="680" w:before="680" w:line="408" w:lineRule="auto"/>
        <w:ind w:left="72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(vii) In the case of fixed assets that consist of land, interests or estates in land or buildings or structures on land, including all fixtures thereon, the value affixed to such assets shall be as may be agreed between the parties, or (failing such agreement) shall be the fair market value thereof as determined by an independent appraiser appointed by the Auditor at the expense of the Shareholders requiring the sale of the Shares, and any such valuation shall be final and binding upon the parties to this Agreement in the absence of manifest error or proof of wrong-doing. </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hd w:fill="ffffff" w:val="clear"/>
        <w:spacing w:after="340" w:before="340" w:line="408" w:lineRule="auto"/>
        <w:ind w:left="0" w:firstLine="0"/>
        <w:rPr>
          <w:rFonts w:ascii="Verdana" w:cs="Verdana" w:eastAsia="Verdana" w:hAnsi="Verdana"/>
          <w:b w:val="1"/>
          <w:bCs w:val="1"/>
          <w:color w:val="212121"/>
          <w:sz w:val="18"/>
          <w:szCs w:val="18"/>
        </w:rPr>
      </w:pPr>
      <w:r w:rsidDel="00000000" w:rsidR="00000000" w:rsidRPr="00000000">
        <w:rPr>
          <w:rFonts w:ascii="Verdana" w:cs="Verdana" w:eastAsia="Verdana" w:hAnsi="Verdana"/>
          <w:color w:val="212121"/>
          <w:sz w:val="18"/>
          <w:szCs w:val="18"/>
          <w:rtl w:val="0"/>
        </w:rPr>
        <w:t xml:space="preserve">10.</w:t>
        <w:tab/>
      </w:r>
      <w:r w:rsidDel="00000000" w:rsidR="00000000" w:rsidRPr="00000000">
        <w:rPr>
          <w:rFonts w:ascii="Verdana" w:cs="Verdana" w:eastAsia="Verdana" w:hAnsi="Verdana"/>
          <w:b w:val="1"/>
          <w:bCs w:val="1"/>
          <w:color w:val="212121"/>
          <w:sz w:val="18"/>
          <w:szCs w:val="18"/>
          <w:rtl w:val="0"/>
        </w:rPr>
        <w:t xml:space="preserve">Mandatory Transfer by Shareholder 2</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pacing w:after="680" w:before="680" w:line="408" w:lineRule="auto"/>
        <w:ind w:left="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 If Shareholder 2 (in this para. 10</w:t>
      </w:r>
      <w:hyperlink r:id="rId16">
        <w:r w:rsidDel="00000000" w:rsidR="00000000" w:rsidRPr="00000000">
          <w:rPr>
            <w:rFonts w:ascii="Verdana" w:cs="Verdana" w:eastAsia="Verdana" w:hAnsi="Verdana"/>
            <w:color w:val="006ebb"/>
            <w:sz w:val="18"/>
            <w:szCs w:val="18"/>
            <w:u w:val="single"/>
            <w:rtl w:val="0"/>
          </w:rPr>
          <w:t xml:space="preserve">.</w:t>
        </w:r>
      </w:hyperlink>
      <w:r w:rsidDel="00000000" w:rsidR="00000000" w:rsidRPr="00000000">
        <w:rPr>
          <w:rFonts w:ascii="Verdana" w:cs="Verdana" w:eastAsia="Verdana" w:hAnsi="Verdana"/>
          <w:color w:val="212121"/>
          <w:sz w:val="18"/>
          <w:szCs w:val="18"/>
          <w:rtl w:val="0"/>
        </w:rPr>
        <w:t xml:space="preserve"> a “Disqualified Second Shareholder”, then the other Shareholders of the Corporation may by resolution among themselves (with or without notice to the Disqualified Second Shareholder) require the Disqualified Second Shareholder to sell all of its Shares in the Corporation to Shareholder 1.</w:t>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pacing w:after="680" w:before="680" w:line="408" w:lineRule="auto"/>
        <w:ind w:left="0" w:firstLine="0"/>
        <w:rPr>
          <w:rFonts w:ascii="Verdana" w:cs="Verdana" w:eastAsia="Verdana" w:hAnsi="Verdana"/>
          <w:color w:val="006ebb"/>
          <w:sz w:val="18"/>
          <w:szCs w:val="18"/>
          <w:u w:val="single"/>
        </w:rPr>
      </w:pPr>
      <w:r w:rsidDel="00000000" w:rsidR="00000000" w:rsidRPr="00000000">
        <w:rPr>
          <w:rFonts w:ascii="Verdana" w:cs="Verdana" w:eastAsia="Verdana" w:hAnsi="Verdana"/>
          <w:color w:val="212121"/>
          <w:sz w:val="18"/>
          <w:szCs w:val="18"/>
          <w:rtl w:val="0"/>
        </w:rPr>
        <w:t xml:space="preserve">(b) The Disqualified Second Shareholder shall give written notice to the Corporation promptly following the occurrence of an event that makes it a Disqualified Second Shareholder. It being understood that, regardless of the delivery or receipt of the Disqualified Second Shareholder's written notice, once the Shareholders know that the Shareholder 2 became a Disqualified Second Shareholder, the Shareholders may proceed to require the sale of the Shares of the Disqualified Shareholder as provided in this para. 10</w:t>
      </w:r>
      <w:hyperlink r:id="rId17">
        <w:r w:rsidDel="00000000" w:rsidR="00000000" w:rsidRPr="00000000">
          <w:rPr>
            <w:rFonts w:ascii="Verdana" w:cs="Verdana" w:eastAsia="Verdana" w:hAnsi="Verdana"/>
            <w:color w:val="006ebb"/>
            <w:sz w:val="18"/>
            <w:szCs w:val="18"/>
            <w:u w:val="single"/>
            <w:rtl w:val="0"/>
          </w:rPr>
          <w:t xml:space="preserve">.</w:t>
        </w:r>
      </w:hyperlink>
      <w:r w:rsidDel="00000000" w:rsidR="00000000" w:rsidRPr="00000000">
        <w:rPr>
          <w:rtl w:val="0"/>
        </w:rPr>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pacing w:after="680" w:before="680" w:line="408" w:lineRule="auto"/>
        <w:ind w:left="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(c) Once the resolution under para. 10</w:t>
      </w:r>
      <w:hyperlink r:id="rId18">
        <w:r w:rsidDel="00000000" w:rsidR="00000000" w:rsidRPr="00000000">
          <w:rPr>
            <w:rFonts w:ascii="Verdana" w:cs="Verdana" w:eastAsia="Verdana" w:hAnsi="Verdana"/>
            <w:color w:val="006ebb"/>
            <w:sz w:val="18"/>
            <w:szCs w:val="18"/>
            <w:u w:val="single"/>
            <w:rtl w:val="0"/>
          </w:rPr>
          <w:t xml:space="preserve">.(a)</w:t>
        </w:r>
      </w:hyperlink>
      <w:r w:rsidDel="00000000" w:rsidR="00000000" w:rsidRPr="00000000">
        <w:rPr>
          <w:rFonts w:ascii="Verdana" w:cs="Verdana" w:eastAsia="Verdana" w:hAnsi="Verdana"/>
          <w:color w:val="212121"/>
          <w:sz w:val="18"/>
          <w:szCs w:val="18"/>
          <w:rtl w:val="0"/>
        </w:rPr>
        <w:t xml:space="preserve"> has been passed, the Shareholders and the Corporation shall promptly give written notice to the Disqualified Second Shareholder advising it that the valuation process for the Shares under para. 10</w:t>
      </w:r>
      <w:hyperlink r:id="rId19">
        <w:r w:rsidDel="00000000" w:rsidR="00000000" w:rsidRPr="00000000">
          <w:rPr>
            <w:rFonts w:ascii="Verdana" w:cs="Verdana" w:eastAsia="Verdana" w:hAnsi="Verdana"/>
            <w:color w:val="006ebb"/>
            <w:sz w:val="18"/>
            <w:szCs w:val="18"/>
            <w:u w:val="single"/>
            <w:rtl w:val="0"/>
          </w:rPr>
          <w:t xml:space="preserve">.(d)</w:t>
        </w:r>
      </w:hyperlink>
      <w:r w:rsidDel="00000000" w:rsidR="00000000" w:rsidRPr="00000000">
        <w:rPr>
          <w:rFonts w:ascii="Verdana" w:cs="Verdana" w:eastAsia="Verdana" w:hAnsi="Verdana"/>
          <w:color w:val="212121"/>
          <w:sz w:val="18"/>
          <w:szCs w:val="18"/>
          <w:rtl w:val="0"/>
        </w:rPr>
        <w:t xml:space="preserve"> has begun and that the Disqualified Second Shareholder shall transfer the Shares to the Shareholder 1 in accordance to this Agreement upon payment of the price determined pursuant to para. 10</w:t>
      </w:r>
      <w:hyperlink r:id="rId20">
        <w:r w:rsidDel="00000000" w:rsidR="00000000" w:rsidRPr="00000000">
          <w:rPr>
            <w:rFonts w:ascii="Verdana" w:cs="Verdana" w:eastAsia="Verdana" w:hAnsi="Verdana"/>
            <w:color w:val="006ebb"/>
            <w:sz w:val="18"/>
            <w:szCs w:val="18"/>
            <w:u w:val="single"/>
            <w:rtl w:val="0"/>
          </w:rPr>
          <w:t xml:space="preserve">.(d)</w:t>
        </w:r>
      </w:hyperlink>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pacing w:after="680" w:before="680" w:line="408" w:lineRule="auto"/>
        <w:ind w:left="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(d) The price to be paid for any Shares to be purchased under this para. 10</w:t>
      </w:r>
      <w:hyperlink r:id="rId21">
        <w:r w:rsidDel="00000000" w:rsidR="00000000" w:rsidRPr="00000000">
          <w:rPr>
            <w:rFonts w:ascii="Verdana" w:cs="Verdana" w:eastAsia="Verdana" w:hAnsi="Verdana"/>
            <w:color w:val="006ebb"/>
            <w:sz w:val="18"/>
            <w:szCs w:val="18"/>
            <w:u w:val="single"/>
            <w:rtl w:val="0"/>
          </w:rPr>
          <w:t xml:space="preserve">.</w:t>
        </w:r>
      </w:hyperlink>
      <w:r w:rsidDel="00000000" w:rsidR="00000000" w:rsidRPr="00000000">
        <w:rPr>
          <w:rFonts w:ascii="Verdana" w:cs="Verdana" w:eastAsia="Verdana" w:hAnsi="Verdana"/>
          <w:color w:val="212121"/>
          <w:sz w:val="18"/>
          <w:szCs w:val="18"/>
          <w:rtl w:val="0"/>
        </w:rPr>
        <w:t xml:space="preserve"> shall be determined as follows:</w:t>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spacing w:after="680" w:before="680" w:line="408" w:lineRule="auto"/>
        <w:ind w:left="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(i) At the expense of the Shareholders, the Accountant of the Corporation shall prepare and complete a Financial Statement of the Corporation computed as of a date no more than 30 days prior to the date on which the resolution under para. 10</w:t>
      </w:r>
      <w:hyperlink r:id="rId22">
        <w:r w:rsidDel="00000000" w:rsidR="00000000" w:rsidRPr="00000000">
          <w:rPr>
            <w:rFonts w:ascii="Verdana" w:cs="Verdana" w:eastAsia="Verdana" w:hAnsi="Verdana"/>
            <w:color w:val="006ebb"/>
            <w:sz w:val="18"/>
            <w:szCs w:val="18"/>
            <w:u w:val="single"/>
            <w:rtl w:val="0"/>
          </w:rPr>
          <w:t xml:space="preserve">.(a)</w:t>
        </w:r>
      </w:hyperlink>
      <w:r w:rsidDel="00000000" w:rsidR="00000000" w:rsidRPr="00000000">
        <w:rPr>
          <w:rFonts w:ascii="Verdana" w:cs="Verdana" w:eastAsia="Verdana" w:hAnsi="Verdana"/>
          <w:color w:val="212121"/>
          <w:sz w:val="18"/>
          <w:szCs w:val="18"/>
          <w:rtl w:val="0"/>
        </w:rPr>
        <w:t xml:space="preserve"> is passed, and for that purpose the Accountant shall have access to all books and records of the Corporation.</w:t>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spacing w:after="1020" w:before="1020" w:line="408" w:lineRule="auto"/>
        <w:ind w:left="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(ii) A copy of such Financial Statement shall be furnished to each of the Shareholders (including each Disqualified Second Shareholder) as well as to the Corporation forthwith upon its completion by the Accountant, and all parties shall be bound by the Financial Statements unless an objection is made in accordance with para. 10</w:t>
      </w:r>
      <w:hyperlink r:id="rId23">
        <w:r w:rsidDel="00000000" w:rsidR="00000000" w:rsidRPr="00000000">
          <w:rPr>
            <w:rFonts w:ascii="Verdana" w:cs="Verdana" w:eastAsia="Verdana" w:hAnsi="Verdana"/>
            <w:color w:val="006ebb"/>
            <w:sz w:val="18"/>
            <w:szCs w:val="18"/>
            <w:u w:val="single"/>
            <w:rtl w:val="0"/>
          </w:rPr>
          <w:t xml:space="preserve">.(d)(iii)</w:t>
        </w:r>
      </w:hyperlink>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spacing w:after="1020" w:before="1020" w:line="408" w:lineRule="auto"/>
        <w:ind w:left="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(iii) A party may object to the Financial Statements prepared by the Accountant by giving written notice of that objection to the Accountant and to the Corporation no later than ten (10) Business Days following the date on which a copy of the Financial Statement is given to that party, setting out the grounds of objection with sufficient particularity to enable the Accountant and the Corporation to respond thereto.</w:t>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pacing w:after="1020" w:before="1020" w:line="408" w:lineRule="auto"/>
        <w:ind w:left="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(iv) Where an objection is made under para. 10</w:t>
      </w:r>
      <w:hyperlink r:id="rId24">
        <w:r w:rsidDel="00000000" w:rsidR="00000000" w:rsidRPr="00000000">
          <w:rPr>
            <w:rFonts w:ascii="Verdana" w:cs="Verdana" w:eastAsia="Verdana" w:hAnsi="Verdana"/>
            <w:color w:val="006ebb"/>
            <w:sz w:val="18"/>
            <w:szCs w:val="18"/>
            <w:u w:val="single"/>
            <w:rtl w:val="0"/>
          </w:rPr>
          <w:t xml:space="preserve">.(d)(iii)</w:t>
        </w:r>
      </w:hyperlink>
      <w:r w:rsidDel="00000000" w:rsidR="00000000" w:rsidRPr="00000000">
        <w:rPr>
          <w:rFonts w:ascii="Verdana" w:cs="Verdana" w:eastAsia="Verdana" w:hAnsi="Verdana"/>
          <w:color w:val="212121"/>
          <w:sz w:val="18"/>
          <w:szCs w:val="18"/>
          <w:rtl w:val="0"/>
        </w:rPr>
        <w:t xml:space="preserve">, the Accountant shall reconsider the Financial Statement concerned, and where the Accountant considers it appropriate to do so may revise the same, provided that the Accountant shall have the sole and final decision (in the absence of manifest error or proof of wrong-doing) as to whether any such revision is necessary.</w:t>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pacing w:after="1020" w:before="1020" w:line="408" w:lineRule="auto"/>
        <w:ind w:left="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(v) The price of the Shares shall be the book value thereof as determined by reference to the Financial Statements prepared by the Accountant.</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pacing w:after="1020" w:before="1020" w:line="408" w:lineRule="auto"/>
        <w:ind w:left="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(vi) Subject to para. 10</w:t>
      </w:r>
      <w:hyperlink r:id="rId25">
        <w:r w:rsidDel="00000000" w:rsidR="00000000" w:rsidRPr="00000000">
          <w:rPr>
            <w:rFonts w:ascii="Verdana" w:cs="Verdana" w:eastAsia="Verdana" w:hAnsi="Verdana"/>
            <w:color w:val="006ebb"/>
            <w:sz w:val="18"/>
            <w:szCs w:val="18"/>
            <w:u w:val="single"/>
            <w:rtl w:val="0"/>
          </w:rPr>
          <w:t xml:space="preserve">.(d)(vii)</w:t>
        </w:r>
      </w:hyperlink>
      <w:r w:rsidDel="00000000" w:rsidR="00000000" w:rsidRPr="00000000">
        <w:rPr>
          <w:rFonts w:ascii="Verdana" w:cs="Verdana" w:eastAsia="Verdana" w:hAnsi="Verdana"/>
          <w:color w:val="212121"/>
          <w:sz w:val="18"/>
          <w:szCs w:val="18"/>
          <w:rtl w:val="0"/>
        </w:rPr>
        <w:t xml:space="preserve"> all financial statements prepared under this para. 10</w:t>
      </w:r>
      <w:hyperlink r:id="rId26">
        <w:r w:rsidDel="00000000" w:rsidR="00000000" w:rsidRPr="00000000">
          <w:rPr>
            <w:rFonts w:ascii="Verdana" w:cs="Verdana" w:eastAsia="Verdana" w:hAnsi="Verdana"/>
            <w:color w:val="006ebb"/>
            <w:sz w:val="18"/>
            <w:szCs w:val="18"/>
            <w:u w:val="single"/>
            <w:rtl w:val="0"/>
          </w:rPr>
          <w:t xml:space="preserve">.</w:t>
        </w:r>
      </w:hyperlink>
      <w:r w:rsidDel="00000000" w:rsidR="00000000" w:rsidRPr="00000000">
        <w:rPr>
          <w:rFonts w:ascii="Verdana" w:cs="Verdana" w:eastAsia="Verdana" w:hAnsi="Verdana"/>
          <w:color w:val="212121"/>
          <w:sz w:val="18"/>
          <w:szCs w:val="18"/>
          <w:rtl w:val="0"/>
        </w:rPr>
        <w:t xml:space="preserve"> shall be prepared in accordance with generally accepted accounting principles as recognized in Canada and consistently applied, but no allowance shall be made for appreciation in goodwill.</w:t>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pacing w:after="1020" w:before="1020" w:line="408" w:lineRule="auto"/>
        <w:ind w:left="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(vii) In the case of fixed assets that consist of land, interests or estates in land or buildings or structures on land, including all fixtures thereon, the value affixed to such assets shall be as may be agreed between the parties, or (failing such agreement) shall be the fair market value thereof as determined by an independent appraiser appointed by the Auditor at the expense of the Shareholders requiring the sale of the Shares, and any such valuation shall be final and binding upon the parties to this Agreement in the absence of manifest error or proof of wrong-doing. </w:t>
      </w:r>
      <w:r w:rsidDel="00000000" w:rsidR="00000000" w:rsidRPr="00000000">
        <w:rPr>
          <w:rtl w:val="0"/>
        </w:rPr>
      </w:r>
    </w:p>
    <w:p w:rsidR="00000000" w:rsidDel="00000000" w:rsidP="00000000" w:rsidRDefault="00000000" w:rsidRPr="00000000" w14:paraId="0000001D">
      <w:pPr>
        <w:numPr>
          <w:ilvl w:val="2"/>
          <w:numId w:val="3"/>
        </w:numPr>
        <w:pBdr>
          <w:top w:color="auto" w:space="0" w:sz="0" w:val="none"/>
          <w:bottom w:color="auto" w:space="0" w:sz="0" w:val="none"/>
          <w:right w:color="auto" w:space="0" w:sz="0" w:val="none"/>
          <w:between w:color="auto" w:space="0" w:sz="0" w:val="none"/>
        </w:pBdr>
        <w:spacing w:after="1020" w:before="1020" w:line="408" w:lineRule="auto"/>
        <w:ind w:left="2160" w:hanging="360"/>
        <w:rPr>
          <w:rFonts w:ascii="Verdana" w:cs="Verdana" w:eastAsia="Verdana" w:hAnsi="Verdana"/>
          <w:color w:val="212121"/>
          <w:sz w:val="18"/>
          <w:szCs w:val="18"/>
          <w:u w:val="none"/>
        </w:rPr>
      </w:pPr>
      <w:r w:rsidDel="00000000" w:rsidR="00000000" w:rsidRPr="00000000">
        <w:rPr>
          <w:rtl w:val="0"/>
        </w:rPr>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hd w:fill="ffffff" w:val="clear"/>
        <w:spacing w:after="340" w:before="340" w:line="408" w:lineRule="auto"/>
        <w:ind w:left="0" w:firstLine="0"/>
        <w:rPr>
          <w:rFonts w:ascii="Verdana" w:cs="Verdana" w:eastAsia="Verdana" w:hAnsi="Verdana"/>
          <w:b w:val="1"/>
          <w:bCs w:val="1"/>
          <w:color w:val="212121"/>
          <w:sz w:val="18"/>
          <w:szCs w:val="18"/>
        </w:rPr>
      </w:pPr>
      <w:r w:rsidDel="00000000" w:rsidR="00000000" w:rsidRPr="00000000">
        <w:rPr>
          <w:rFonts w:ascii="Verdana" w:cs="Verdana" w:eastAsia="Verdana" w:hAnsi="Verdana"/>
          <w:color w:val="212121"/>
          <w:sz w:val="18"/>
          <w:szCs w:val="18"/>
          <w:rtl w:val="0"/>
        </w:rPr>
        <w:t xml:space="preserve">11</w:t>
      </w:r>
      <w:r w:rsidDel="00000000" w:rsidR="00000000" w:rsidRPr="00000000">
        <w:rPr>
          <w:rFonts w:ascii="Verdana" w:cs="Verdana" w:eastAsia="Verdana" w:hAnsi="Verdana"/>
          <w:color w:val="212121"/>
          <w:sz w:val="18"/>
          <w:szCs w:val="18"/>
          <w:rtl w:val="0"/>
        </w:rPr>
        <w:t xml:space="preserve">.</w:t>
        <w:tab/>
      </w:r>
      <w:r w:rsidDel="00000000" w:rsidR="00000000" w:rsidRPr="00000000">
        <w:rPr>
          <w:rFonts w:ascii="Verdana" w:cs="Verdana" w:eastAsia="Verdana" w:hAnsi="Verdana"/>
          <w:b w:val="1"/>
          <w:bCs w:val="1"/>
          <w:color w:val="212121"/>
          <w:sz w:val="18"/>
          <w:szCs w:val="18"/>
          <w:rtl w:val="0"/>
        </w:rPr>
        <w:t xml:space="preserve">Officers</w:t>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spacing w:after="680" w:before="680" w:line="408" w:lineRule="auto"/>
        <w:ind w:left="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 [Subject to para. 11</w:t>
      </w:r>
      <w:hyperlink r:id="rId27">
        <w:r w:rsidDel="00000000" w:rsidR="00000000" w:rsidRPr="00000000">
          <w:rPr>
            <w:rFonts w:ascii="Verdana" w:cs="Verdana" w:eastAsia="Verdana" w:hAnsi="Verdana"/>
            <w:color w:val="006ebb"/>
            <w:sz w:val="18"/>
            <w:szCs w:val="18"/>
            <w:u w:val="single"/>
            <w:rtl w:val="0"/>
          </w:rPr>
          <w:t xml:space="preserve">.(i)</w:t>
        </w:r>
      </w:hyperlink>
      <w:r w:rsidDel="00000000" w:rsidR="00000000" w:rsidRPr="00000000">
        <w:rPr>
          <w:rFonts w:ascii="Verdana" w:cs="Verdana" w:eastAsia="Verdana" w:hAnsi="Verdana"/>
          <w:color w:val="212121"/>
          <w:sz w:val="18"/>
          <w:szCs w:val="18"/>
          <w:rtl w:val="0"/>
        </w:rPr>
        <w:t xml:space="preserve">]</w:t>
      </w:r>
      <w:r w:rsidDel="00000000" w:rsidR="00000000" w:rsidRPr="00000000">
        <w:rPr>
          <w:rFonts w:ascii="Verdana" w:cs="Verdana" w:eastAsia="Verdana" w:hAnsi="Verdana"/>
          <w:color w:val="212121"/>
          <w:sz w:val="18"/>
          <w:szCs w:val="18"/>
          <w:rtl w:val="0"/>
        </w:rPr>
        <w:t xml:space="preserve">, the designation and duties of officers in the Corporation and appointment to offices in the Corporation shall be within the control of the Board.</w:t>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spacing w:after="680" w:before="680" w:line="408" w:lineRule="auto"/>
        <w:ind w:left="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(b) The Board may appoint a person other than the President of the Corporation for the time being to be the [Chief Cricket Officer] of the Corporation or Chief Marketing Officer], and subject to this Agreement may delegate to that officer such responsibilities and authorities as are permitted under the Act.</w:t>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pacing w:after="680" w:before="680" w:line="408" w:lineRule="auto"/>
        <w:ind w:left="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(c) From time to time, subject to this Agreement and pursuant to the inherent powers of the Board, the Board may cause the Corporation to </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pacing w:after="680" w:before="680" w:line="408" w:lineRule="auto"/>
        <w:ind w:left="72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i) enter into a [Chief Cricket Officer] services agreement (“CCO Services Agreement”), in substantially the same form as that set out in appendix “A” </w:t>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pacing w:after="680" w:before="680" w:line="408" w:lineRule="auto"/>
        <w:ind w:left="72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ii) enter into a [Chief Marketing Officer] services agreement (“CMO Services Agreement”), in substantially the same form as that set out in appendix “B” </w:t>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spacing w:after="680" w:before="680" w:line="408" w:lineRule="auto"/>
        <w:ind w:left="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(d) Subject to any CCO Services Agreement or CMO Services Agreement, the Board shall have control over the remuneration of the officers of the Corporation.</w:t>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shd w:fill="ffffff" w:val="clear"/>
        <w:spacing w:after="340" w:before="340" w:line="408" w:lineRule="auto"/>
        <w:ind w:left="0" w:firstLine="0"/>
        <w:rPr>
          <w:rFonts w:ascii="Verdana" w:cs="Verdana" w:eastAsia="Verdana" w:hAnsi="Verdana"/>
          <w:b w:val="1"/>
          <w:bCs w:val="1"/>
          <w:color w:val="212121"/>
          <w:sz w:val="18"/>
          <w:szCs w:val="18"/>
        </w:rPr>
      </w:pPr>
      <w:r w:rsidDel="00000000" w:rsidR="00000000" w:rsidRPr="00000000">
        <w:rPr>
          <w:rFonts w:ascii="Verdana" w:cs="Verdana" w:eastAsia="Verdana" w:hAnsi="Verdana"/>
          <w:color w:val="212121"/>
          <w:sz w:val="18"/>
          <w:szCs w:val="18"/>
          <w:rtl w:val="0"/>
        </w:rPr>
        <w:t xml:space="preserve">12.</w:t>
        <w:tab/>
      </w:r>
      <w:r w:rsidDel="00000000" w:rsidR="00000000" w:rsidRPr="00000000">
        <w:rPr>
          <w:rFonts w:ascii="Verdana" w:cs="Verdana" w:eastAsia="Verdana" w:hAnsi="Verdana"/>
          <w:b w:val="1"/>
          <w:bCs w:val="1"/>
          <w:color w:val="212121"/>
          <w:sz w:val="18"/>
          <w:szCs w:val="18"/>
          <w:rtl w:val="0"/>
        </w:rPr>
        <w:t xml:space="preserve">Financial Affairs</w:t>
      </w:r>
    </w:p>
    <w:p w:rsidR="00000000" w:rsidDel="00000000" w:rsidP="00000000" w:rsidRDefault="00000000" w:rsidRPr="00000000" w14:paraId="00000026">
      <w:pPr>
        <w:numPr>
          <w:ilvl w:val="1"/>
          <w:numId w:val="3"/>
        </w:numPr>
        <w:pBdr>
          <w:top w:color="auto" w:space="0" w:sz="0" w:val="none"/>
          <w:bottom w:color="auto" w:space="0" w:sz="0" w:val="none"/>
          <w:right w:color="auto" w:space="0" w:sz="0" w:val="none"/>
          <w:between w:color="auto" w:space="0" w:sz="0" w:val="none"/>
        </w:pBdr>
        <w:spacing w:after="0" w:afterAutospacing="0" w:before="680" w:line="408" w:lineRule="auto"/>
        <w:ind w:left="1440" w:hanging="360"/>
      </w:pPr>
      <w:r w:rsidDel="00000000" w:rsidR="00000000" w:rsidRPr="00000000">
        <w:rPr>
          <w:rFonts w:ascii="Verdana" w:cs="Verdana" w:eastAsia="Verdana" w:hAnsi="Verdana"/>
          <w:color w:val="212121"/>
          <w:sz w:val="18"/>
          <w:szCs w:val="18"/>
          <w:rtl w:val="0"/>
        </w:rPr>
        <w:t xml:space="preserve">(a) Despite anything in this Agreement, until otherwise agreed by the Shareholders [name of firm] shall be the accountants of the Corporation.</w:t>
      </w:r>
    </w:p>
    <w:p w:rsidR="00000000" w:rsidDel="00000000" w:rsidP="00000000" w:rsidRDefault="00000000" w:rsidRPr="00000000" w14:paraId="00000027">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(b) The financial year of the Corporation shall be the calendar year.</w:t>
      </w:r>
    </w:p>
    <w:p w:rsidR="00000000" w:rsidDel="00000000" w:rsidP="00000000" w:rsidRDefault="00000000" w:rsidRPr="00000000" w14:paraId="00000028">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(c)  The Corporation shall not grant any security in or over its assets for the time being, whether in the form of a fixed or floating Charge, except with the prior written consent of the Shareholders.</w:t>
      </w:r>
    </w:p>
    <w:p w:rsidR="00000000" w:rsidDel="00000000" w:rsidP="00000000" w:rsidRDefault="00000000" w:rsidRPr="00000000" w14:paraId="00000029">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(d)  Except for trade credit and one or more operating lines of credit with a bank not exceeding $[amount] in aggregate amount, the Corporation shall not borrow money other than from the Shareholders, all such borrowings to be made on a ratable basis from the Shareholders by reference to their holding of Shares in the Corporation.</w:t>
      </w:r>
    </w:p>
    <w:p w:rsidR="00000000" w:rsidDel="00000000" w:rsidP="00000000" w:rsidRDefault="00000000" w:rsidRPr="00000000" w14:paraId="0000002A">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[(e) The Corporation shall not give any guarantee or provide any financial assistance to any Shareholder or to any Subsidiary of a Shareholder, nor to any person in whom any Shareholder has a direct or indirect material interest.]</w:t>
      </w:r>
    </w:p>
    <w:p w:rsidR="00000000" w:rsidDel="00000000" w:rsidP="00000000" w:rsidRDefault="00000000" w:rsidRPr="00000000" w14:paraId="0000002B">
      <w:pPr>
        <w:numPr>
          <w:ilvl w:val="1"/>
          <w:numId w:val="3"/>
        </w:numPr>
        <w:pBdr>
          <w:top w:color="auto" w:space="0" w:sz="0" w:val="none"/>
          <w:bottom w:color="auto" w:space="0" w:sz="0" w:val="none"/>
          <w:right w:color="auto" w:space="0" w:sz="0" w:val="none"/>
          <w:between w:color="auto" w:space="0" w:sz="0" w:val="none"/>
        </w:pBdr>
        <w:spacing w:after="68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(f) The Corporation shall provide each Shareholder with one copy of its [audited] Financial Statements within 90 days following the end of each financial year.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before="0" w:line="408" w:lineRule="auto"/>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13.</w:t>
        <w:tab/>
      </w:r>
      <w:r w:rsidDel="00000000" w:rsidR="00000000" w:rsidRPr="00000000">
        <w:rPr>
          <w:rFonts w:ascii="Verdana" w:cs="Verdana" w:eastAsia="Verdana" w:hAnsi="Verdana"/>
          <w:b w:val="1"/>
          <w:bCs w:val="1"/>
          <w:color w:val="212121"/>
          <w:sz w:val="18"/>
          <w:szCs w:val="18"/>
          <w:highlight w:val="white"/>
          <w:rtl w:val="0"/>
        </w:rPr>
        <w:t xml:space="preserve">Voting Power and Further Assurances</w:t>
      </w:r>
    </w:p>
    <w:p w:rsidR="00000000" w:rsidDel="00000000" w:rsidP="00000000" w:rsidRDefault="00000000" w:rsidRPr="00000000" w14:paraId="0000002E">
      <w:pPr>
        <w:numPr>
          <w:ilvl w:val="0"/>
          <w:numId w:val="2"/>
        </w:numPr>
        <w:pBdr>
          <w:top w:color="auto" w:space="0" w:sz="0" w:val="none"/>
          <w:bottom w:color="auto" w:space="0" w:sz="0" w:val="none"/>
          <w:right w:color="auto" w:space="0" w:sz="0" w:val="none"/>
          <w:between w:color="auto" w:space="0" w:sz="0" w:val="none"/>
        </w:pBdr>
        <w:spacing w:after="0" w:afterAutospacing="0" w:before="340" w:line="408" w:lineRule="auto"/>
        <w:ind w:left="720" w:hanging="360"/>
      </w:pPr>
      <w:r w:rsidDel="00000000" w:rsidR="00000000" w:rsidRPr="00000000">
        <w:rPr>
          <w:rFonts w:ascii="Verdana" w:cs="Verdana" w:eastAsia="Verdana" w:hAnsi="Verdana"/>
          <w:color w:val="212121"/>
          <w:sz w:val="18"/>
          <w:szCs w:val="18"/>
          <w:highlight w:val="white"/>
          <w:rtl w:val="0"/>
        </w:rPr>
        <w:t xml:space="preserve">(a) At all times, the Shareholders shall use their voting powers in matters to be decided by the Shareholders of the Corporation or any class of Shareholders of the Corporation so as to give effect to the letter and spirit of this Agreement, and shall cause the directors appointed by each of them respectively to exercise their powers as members of the Board consistently within the provisions of this Agreement.</w:t>
      </w:r>
    </w:p>
    <w:p w:rsidR="00000000" w:rsidDel="00000000" w:rsidP="00000000" w:rsidRDefault="00000000" w:rsidRPr="00000000" w14:paraId="0000002F">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pPr>
      <w:r w:rsidDel="00000000" w:rsidR="00000000" w:rsidRPr="00000000">
        <w:rPr>
          <w:rFonts w:ascii="Verdana" w:cs="Verdana" w:eastAsia="Verdana" w:hAnsi="Verdana"/>
          <w:color w:val="212121"/>
          <w:sz w:val="18"/>
          <w:szCs w:val="18"/>
          <w:highlight w:val="white"/>
          <w:rtl w:val="0"/>
        </w:rPr>
        <w:t xml:space="preserve">(b) The Board shall cause all officers of the Corporation to carry out all duties required under this Agreement, and to respect and comply with the terms and provisions of this Agreement.</w:t>
      </w:r>
    </w:p>
    <w:p w:rsidR="00000000" w:rsidDel="00000000" w:rsidP="00000000" w:rsidRDefault="00000000" w:rsidRPr="00000000" w14:paraId="00000030">
      <w:pPr>
        <w:numPr>
          <w:ilvl w:val="0"/>
          <w:numId w:val="2"/>
        </w:numPr>
        <w:pBdr>
          <w:top w:color="auto" w:space="0" w:sz="0" w:val="none"/>
          <w:bottom w:color="auto" w:space="0" w:sz="0" w:val="none"/>
          <w:right w:color="auto" w:space="0" w:sz="0" w:val="none"/>
          <w:between w:color="auto" w:space="0" w:sz="0" w:val="none"/>
        </w:pBdr>
        <w:spacing w:after="340" w:before="0" w:beforeAutospacing="0" w:line="408" w:lineRule="auto"/>
        <w:ind w:left="720" w:hanging="360"/>
      </w:pPr>
      <w:r w:rsidDel="00000000" w:rsidR="00000000" w:rsidRPr="00000000">
        <w:rPr>
          <w:rFonts w:ascii="Verdana" w:cs="Verdana" w:eastAsia="Verdana" w:hAnsi="Verdana"/>
          <w:color w:val="212121"/>
          <w:sz w:val="18"/>
          <w:szCs w:val="18"/>
          <w:highlight w:val="white"/>
          <w:rtl w:val="0"/>
        </w:rPr>
        <w:t xml:space="preserve">(c) At the expense of the party so requesting, each party shall take such steps, do such acts, and execute and deliver such other documents and provide such further assurances as a party may reasonably require in connection with this Agreement and in particular in order to give effect to its provisions or to give recognition to the same.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340" w:line="408" w:lineRule="auto"/>
        <w:ind w:left="720" w:hanging="360"/>
      </w:pPr>
      <w:r w:rsidDel="00000000" w:rsidR="00000000" w:rsidRPr="00000000">
        <w:rPr>
          <w:rFonts w:ascii="Verdana" w:cs="Verdana" w:eastAsia="Verdana" w:hAnsi="Verdana"/>
          <w:color w:val="212121"/>
          <w:sz w:val="18"/>
          <w:szCs w:val="18"/>
          <w:rtl w:val="0"/>
        </w:rPr>
        <w:t xml:space="preserve">Section 3.16.</w:t>
      </w:r>
    </w:p>
    <w:p w:rsidR="00000000" w:rsidDel="00000000" w:rsidP="00000000" w:rsidRDefault="00000000" w:rsidRPr="00000000" w14:paraId="00000034">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720" w:hanging="360"/>
      </w:pPr>
      <w:r w:rsidDel="00000000" w:rsidR="00000000" w:rsidRPr="00000000">
        <w:rPr>
          <w:rFonts w:ascii="Verdana" w:cs="Verdana" w:eastAsia="Verdana" w:hAnsi="Verdana"/>
          <w:b w:val="1"/>
          <w:bCs w:val="1"/>
          <w:color w:val="212121"/>
          <w:sz w:val="18"/>
          <w:szCs w:val="18"/>
          <w:rtl w:val="0"/>
        </w:rPr>
        <w:t xml:space="preserve">[Audit Exemption] </w:t>
      </w:r>
    </w:p>
    <w:p w:rsidR="00000000" w:rsidDel="00000000" w:rsidP="00000000" w:rsidRDefault="00000000" w:rsidRPr="00000000" w14:paraId="00000035">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Each of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waives, to the fullest extent permitted by applicable Law, any requirement to appoint an auditor for the Corporation. To the extent required by applicable Law, in each Financial Year,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shall sign a consent to exempt the Corporation from the requirement to appoint an auditor pursuant to the Act.</w:t>
      </w:r>
    </w:p>
    <w:p w:rsidR="00000000" w:rsidDel="00000000" w:rsidP="00000000" w:rsidRDefault="00000000" w:rsidRPr="00000000" w14:paraId="00000036">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b w:val="1"/>
          <w:bCs w:val="1"/>
          <w:color w:val="212121"/>
          <w:sz w:val="18"/>
          <w:szCs w:val="18"/>
          <w:rtl w:val="0"/>
        </w:rPr>
        <w:t xml:space="preserve">OR/AND</w:t>
      </w:r>
    </w:p>
    <w:p w:rsidR="00000000" w:rsidDel="00000000" w:rsidP="00000000" w:rsidRDefault="00000000" w:rsidRPr="00000000" w14:paraId="00000037">
      <w:pPr>
        <w:numPr>
          <w:ilvl w:val="1"/>
          <w:numId w:val="1"/>
        </w:numPr>
        <w:pBdr>
          <w:top w:color="auto" w:space="0" w:sz="0" w:val="none"/>
          <w:bottom w:color="auto" w:space="0" w:sz="0" w:val="none"/>
          <w:right w:color="auto" w:space="0" w:sz="0" w:val="none"/>
          <w:between w:color="auto" w:space="0" w:sz="0" w:val="none"/>
        </w:pBdr>
        <w:spacing w:after="96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[The [auditor (the Auditor)][accountant (the Accountant)] of the Corporation will be [ ] or such other firm of nationally recognized chartered public accountants as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appoint in accordance with Section </w:t>
      </w:r>
      <w:hyperlink r:id="rId28">
        <w:r w:rsidDel="00000000" w:rsidR="00000000" w:rsidRPr="00000000">
          <w:rPr>
            <w:rFonts w:ascii="Verdana" w:cs="Verdana" w:eastAsia="Verdana" w:hAnsi="Verdana"/>
            <w:color w:val="006ebb"/>
            <w:sz w:val="18"/>
            <w:szCs w:val="18"/>
            <w:u w:val="single"/>
            <w:rtl w:val="0"/>
          </w:rPr>
          <w:t xml:space="preserve">3.9.</w:t>
        </w:r>
      </w:hyperlink>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Verdan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rFonts w:ascii="Verdana" w:cs="Verdana" w:eastAsia="Verdana" w:hAnsi="Verdana"/>
        <w:color w:val="212121"/>
        <w:sz w:val="18"/>
        <w:szCs w:val="18"/>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color w:val="212121"/>
        <w:sz w:val="18"/>
        <w:szCs w:val="18"/>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rFonts w:ascii="Verdana" w:cs="Verdana" w:eastAsia="Verdana" w:hAnsi="Verdana"/>
        <w:color w:val="212121"/>
        <w:sz w:val="18"/>
        <w:szCs w:val="18"/>
        <w:u w:val="none"/>
      </w:rPr>
    </w:lvl>
    <w:lvl w:ilvl="2">
      <w:start w:val="1"/>
      <w:numFmt w:val="bullet"/>
      <w:lvlText w:val=""/>
      <w:lvlJc w:val="left"/>
      <w:pPr>
        <w:ind w:left="2160" w:hanging="360"/>
      </w:pPr>
      <w:rPr>
        <w:rFonts w:ascii="Verdana" w:cs="Verdana" w:eastAsia="Verdana" w:hAnsi="Verdana"/>
        <w:color w:val="212121"/>
        <w:sz w:val="18"/>
        <w:szCs w:val="18"/>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20" Type="http://schemas.openxmlformats.org/officeDocument/2006/relationships/hyperlink" Target="https://advance.lexis.com/document/lpadocument/?pdmfid=1518425&amp;crid=34dd0368-6ad4-454d-973e-40d62022c00d&amp;pddocfullpath=%2Fshared%2Fdocument%2Fforms-lpa-ca%2Furn%3AcontentItem%3A5W0W-D281-DXPM-S040-00000-00&amp;pdcontentcomponentid=403047&amp;pdteaserkey=sr4&amp;pditab=allpods&amp;ecomp=L75g&amp;earg=sr4&amp;prid=e089a3d2-61b6-4c34-a358-9b327e79d872#" TargetMode="External"/><Relationship Id="rId22" Type="http://schemas.openxmlformats.org/officeDocument/2006/relationships/hyperlink" Target="https://advance.lexis.com/document/lpadocument/?pdmfid=1518425&amp;crid=34dd0368-6ad4-454d-973e-40d62022c00d&amp;pddocfullpath=%2Fshared%2Fdocument%2Fforms-lpa-ca%2Furn%3AcontentItem%3A5W0W-D281-DXPM-S040-00000-00&amp;pdcontentcomponentid=403047&amp;pdteaserkey=sr4&amp;pditab=allpods&amp;ecomp=L75g&amp;earg=sr4&amp;prid=e089a3d2-61b6-4c34-a358-9b327e79d872#" TargetMode="External"/><Relationship Id="rId21" Type="http://schemas.openxmlformats.org/officeDocument/2006/relationships/hyperlink" Target="https://advance.lexis.com/document/lpadocument/?pdmfid=1518425&amp;crid=34dd0368-6ad4-454d-973e-40d62022c00d&amp;pddocfullpath=%2Fshared%2Fdocument%2Fforms-lpa-ca%2Furn%3AcontentItem%3A5W0W-D281-DXPM-S040-00000-00&amp;pdcontentcomponentid=403047&amp;pdteaserkey=sr4&amp;pditab=allpods&amp;ecomp=L75g&amp;earg=sr4&amp;prid=e089a3d2-61b6-4c34-a358-9b327e79d872#" TargetMode="External"/><Relationship Id="rId24" Type="http://schemas.openxmlformats.org/officeDocument/2006/relationships/hyperlink" Target="https://advance.lexis.com/document/lpadocument/?pdmfid=1518425&amp;crid=34dd0368-6ad4-454d-973e-40d62022c00d&amp;pddocfullpath=%2Fshared%2Fdocument%2Fforms-lpa-ca%2Furn%3AcontentItem%3A5W0W-D281-DXPM-S040-00000-00&amp;pdcontentcomponentid=403047&amp;pdteaserkey=sr4&amp;pditab=allpods&amp;ecomp=L75g&amp;earg=sr4&amp;prid=e089a3d2-61b6-4c34-a358-9b327e79d872#" TargetMode="External"/><Relationship Id="rId23" Type="http://schemas.openxmlformats.org/officeDocument/2006/relationships/hyperlink" Target="https://advance.lexis.com/document/lpadocument/?pdmfid=1518425&amp;crid=34dd0368-6ad4-454d-973e-40d62022c00d&amp;pddocfullpath=%2Fshared%2Fdocument%2Fforms-lpa-ca%2Furn%3AcontentItem%3A5W0W-D281-DXPM-S040-00000-00&amp;pdcontentcomponentid=403047&amp;pdteaserkey=sr4&amp;pditab=allpods&amp;ecomp=L75g&amp;earg=sr4&amp;prid=e089a3d2-61b6-4c34-a358-9b327e79d87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dvance.lexis.com/document/lpadocument/?pdmfid=1518425&amp;crid=34dd0368-6ad4-454d-973e-40d62022c00d&amp;pddocfullpath=%2Fshared%2Fdocument%2Fforms-lpa-ca%2Furn%3AcontentItem%3A5W0W-D281-DXPM-S040-00000-00&amp;pdcontentcomponentid=403047&amp;pdteaserkey=sr4&amp;pditab=allpods&amp;ecomp=L75g&amp;earg=sr4&amp;prid=e089a3d2-61b6-4c34-a358-9b327e79d872#" TargetMode="External"/><Relationship Id="rId26" Type="http://schemas.openxmlformats.org/officeDocument/2006/relationships/hyperlink" Target="https://advance.lexis.com/document/lpadocument/?pdmfid=1518425&amp;crid=34dd0368-6ad4-454d-973e-40d62022c00d&amp;pddocfullpath=%2Fshared%2Fdocument%2Fforms-lpa-ca%2Furn%3AcontentItem%3A5W0W-D281-DXPM-S040-00000-00&amp;pdcontentcomponentid=403047&amp;pdteaserkey=sr4&amp;pditab=allpods&amp;ecomp=L75g&amp;earg=sr4&amp;prid=e089a3d2-61b6-4c34-a358-9b327e79d872#" TargetMode="External"/><Relationship Id="rId25" Type="http://schemas.openxmlformats.org/officeDocument/2006/relationships/hyperlink" Target="https://advance.lexis.com/document/lpadocument/?pdmfid=1518425&amp;crid=34dd0368-6ad4-454d-973e-40d62022c00d&amp;pddocfullpath=%2Fshared%2Fdocument%2Fforms-lpa-ca%2Furn%3AcontentItem%3A5W0W-D281-DXPM-S040-00000-00&amp;pdcontentcomponentid=403047&amp;pdteaserkey=sr4&amp;pditab=allpods&amp;ecomp=L75g&amp;earg=sr4&amp;prid=e089a3d2-61b6-4c34-a358-9b327e79d872#" TargetMode="External"/><Relationship Id="rId28" Type="http://schemas.openxmlformats.org/officeDocument/2006/relationships/hyperlink" Target="https://advance.lexis.com/document/documentlink/?pdmfid=1518425&amp;crid=8c61b934-dba7-488c-b538-00c22d1f0fe3&amp;pddocfullpath=%2Fshared%2Fdocument%2Fforms-lpa-ca%2Furn%3AcontentItem%3A5W0W-D281-DXPM-S012-00000-00&amp;pdcontentcomponentid=403047&amp;pddoctitle=Unanimous+Shareholder+Agreement&amp;pdproductcontenttypeid=urn%3Apct%3A459&amp;pdiskwicview=false&amp;ecomp=ghb9k&amp;prid=04ad867a-985a-4840-b458-472223882a34#" TargetMode="External"/><Relationship Id="rId27" Type="http://schemas.openxmlformats.org/officeDocument/2006/relationships/hyperlink" Target="https://advance.lexis.com/document/lpadocument/?pdmfid=1518425&amp;crid=34dd0368-6ad4-454d-973e-40d62022c00d&amp;pddocfullpath=%2Fshared%2Fdocument%2Fforms-lpa-ca%2Furn%3AcontentItem%3A5W0W-D281-DXPM-S040-00000-00&amp;pdcontentcomponentid=403047&amp;pdteaserkey=sr4&amp;pditab=allpods&amp;ecomp=L75g&amp;earg=sr4&amp;prid=e089a3d2-61b6-4c34-a358-9b327e79d872#" TargetMode="External"/><Relationship Id="rId5" Type="http://schemas.openxmlformats.org/officeDocument/2006/relationships/styles" Target="styles.xml"/><Relationship Id="rId6" Type="http://schemas.openxmlformats.org/officeDocument/2006/relationships/hyperlink" Target="https://advance.lexis.com/document/lpadocument/?pdmfid=1518425&amp;crid=34dd0368-6ad4-454d-973e-40d62022c00d&amp;pddocfullpath=%2Fshared%2Fdocument%2Fforms-lpa-ca%2Furn%3AcontentItem%3A5W0W-D281-DXPM-S040-00000-00&amp;pdcontentcomponentid=403047&amp;pdteaserkey=sr4&amp;pditab=allpods&amp;ecomp=L75g&amp;earg=sr4&amp;prid=e089a3d2-61b6-4c34-a358-9b327e79d872#" TargetMode="External"/><Relationship Id="rId7" Type="http://schemas.openxmlformats.org/officeDocument/2006/relationships/hyperlink" Target="https://advance.lexis.com/document/lpadocument/?pdmfid=1518425&amp;crid=34dd0368-6ad4-454d-973e-40d62022c00d&amp;pddocfullpath=%2Fshared%2Fdocument%2Fforms-lpa-ca%2Furn%3AcontentItem%3A5W0W-D281-DXPM-S040-00000-00&amp;pdcontentcomponentid=403047&amp;pdteaserkey=sr4&amp;pditab=allpods&amp;ecomp=L75g&amp;earg=sr4&amp;prid=e089a3d2-61b6-4c34-a358-9b327e79d872#" TargetMode="External"/><Relationship Id="rId8" Type="http://schemas.openxmlformats.org/officeDocument/2006/relationships/hyperlink" Target="https://advance.lexis.com/document/lpadocument/?pdmfid=1518425&amp;crid=34dd0368-6ad4-454d-973e-40d62022c00d&amp;pddocfullpath=%2Fshared%2Fdocument%2Fforms-lpa-ca%2Furn%3AcontentItem%3A5W0W-D281-DXPM-S040-00000-00&amp;pdcontentcomponentid=403047&amp;pdteaserkey=sr4&amp;pditab=allpods&amp;ecomp=L75g&amp;earg=sr4&amp;prid=e089a3d2-61b6-4c34-a358-9b327e79d872#" TargetMode="External"/><Relationship Id="rId11" Type="http://schemas.openxmlformats.org/officeDocument/2006/relationships/hyperlink" Target="https://advance.lexis.com/document/lpadocument/?pdmfid=1518425&amp;crid=34dd0368-6ad4-454d-973e-40d62022c00d&amp;pddocfullpath=%2Fshared%2Fdocument%2Fforms-lpa-ca%2Furn%3AcontentItem%3A5W0W-D281-DXPM-S040-00000-00&amp;pdcontentcomponentid=403047&amp;pdteaserkey=sr4&amp;pditab=allpods&amp;ecomp=L75g&amp;earg=sr4&amp;prid=e089a3d2-61b6-4c34-a358-9b327e79d872#" TargetMode="External"/><Relationship Id="rId10" Type="http://schemas.openxmlformats.org/officeDocument/2006/relationships/hyperlink" Target="https://advance.lexis.com/document/lpadocument/?pdmfid=1518425&amp;crid=34dd0368-6ad4-454d-973e-40d62022c00d&amp;pddocfullpath=%2Fshared%2Fdocument%2Fforms-lpa-ca%2Furn%3AcontentItem%3A5W0W-D281-DXPM-S040-00000-00&amp;pdcontentcomponentid=403047&amp;pdteaserkey=sr4&amp;pditab=allpods&amp;ecomp=L75g&amp;earg=sr4&amp;prid=e089a3d2-61b6-4c34-a358-9b327e79d872#" TargetMode="External"/><Relationship Id="rId13" Type="http://schemas.openxmlformats.org/officeDocument/2006/relationships/hyperlink" Target="https://advance.lexis.com/document/lpadocument/?pdmfid=1518425&amp;crid=34dd0368-6ad4-454d-973e-40d62022c00d&amp;pddocfullpath=%2Fshared%2Fdocument%2Fforms-lpa-ca%2Furn%3AcontentItem%3A5W0W-D281-DXPM-S040-00000-00&amp;pdcontentcomponentid=403047&amp;pdteaserkey=sr4&amp;pditab=allpods&amp;ecomp=L75g&amp;earg=sr4&amp;prid=e089a3d2-61b6-4c34-a358-9b327e79d872#" TargetMode="External"/><Relationship Id="rId12" Type="http://schemas.openxmlformats.org/officeDocument/2006/relationships/hyperlink" Target="https://advance.lexis.com/document/lpadocument/?pdmfid=1518425&amp;crid=34dd0368-6ad4-454d-973e-40d62022c00d&amp;pddocfullpath=%2Fshared%2Fdocument%2Fforms-lpa-ca%2Furn%3AcontentItem%3A5W0W-D281-DXPM-S040-00000-00&amp;pdcontentcomponentid=403047&amp;pdteaserkey=sr4&amp;pditab=allpods&amp;ecomp=L75g&amp;earg=sr4&amp;prid=e089a3d2-61b6-4c34-a358-9b327e79d872#" TargetMode="External"/><Relationship Id="rId15" Type="http://schemas.openxmlformats.org/officeDocument/2006/relationships/hyperlink" Target="https://advance.lexis.com/document/lpadocument/?pdmfid=1518425&amp;crid=34dd0368-6ad4-454d-973e-40d62022c00d&amp;pddocfullpath=%2Fshared%2Fdocument%2Fforms-lpa-ca%2Furn%3AcontentItem%3A5W0W-D281-DXPM-S040-00000-00&amp;pdcontentcomponentid=403047&amp;pdteaserkey=sr4&amp;pditab=allpods&amp;ecomp=L75g&amp;earg=sr4&amp;prid=e089a3d2-61b6-4c34-a358-9b327e79d872#" TargetMode="External"/><Relationship Id="rId14" Type="http://schemas.openxmlformats.org/officeDocument/2006/relationships/hyperlink" Target="https://advance.lexis.com/document/lpadocument/?pdmfid=1518425&amp;crid=34dd0368-6ad4-454d-973e-40d62022c00d&amp;pddocfullpath=%2Fshared%2Fdocument%2Fforms-lpa-ca%2Furn%3AcontentItem%3A5W0W-D281-DXPM-S040-00000-00&amp;pdcontentcomponentid=403047&amp;pdteaserkey=sr4&amp;pditab=allpods&amp;ecomp=L75g&amp;earg=sr4&amp;prid=e089a3d2-61b6-4c34-a358-9b327e79d872#" TargetMode="External"/><Relationship Id="rId17" Type="http://schemas.openxmlformats.org/officeDocument/2006/relationships/hyperlink" Target="https://advance.lexis.com/document/lpadocument/?pdmfid=1518425&amp;crid=34dd0368-6ad4-454d-973e-40d62022c00d&amp;pddocfullpath=%2Fshared%2Fdocument%2Fforms-lpa-ca%2Furn%3AcontentItem%3A5W0W-D281-DXPM-S040-00000-00&amp;pdcontentcomponentid=403047&amp;pdteaserkey=sr4&amp;pditab=allpods&amp;ecomp=L75g&amp;earg=sr4&amp;prid=e089a3d2-61b6-4c34-a358-9b327e79d872#" TargetMode="External"/><Relationship Id="rId16" Type="http://schemas.openxmlformats.org/officeDocument/2006/relationships/hyperlink" Target="https://advance.lexis.com/document/lpadocument/?pdmfid=1518425&amp;crid=34dd0368-6ad4-454d-973e-40d62022c00d&amp;pddocfullpath=%2Fshared%2Fdocument%2Fforms-lpa-ca%2Furn%3AcontentItem%3A5W0W-D281-DXPM-S040-00000-00&amp;pdcontentcomponentid=403047&amp;pdteaserkey=sr4&amp;pditab=allpods&amp;ecomp=L75g&amp;earg=sr4&amp;prid=e089a3d2-61b6-4c34-a358-9b327e79d872#" TargetMode="External"/><Relationship Id="rId19" Type="http://schemas.openxmlformats.org/officeDocument/2006/relationships/hyperlink" Target="https://advance.lexis.com/document/lpadocument/?pdmfid=1518425&amp;crid=34dd0368-6ad4-454d-973e-40d62022c00d&amp;pddocfullpath=%2Fshared%2Fdocument%2Fforms-lpa-ca%2Furn%3AcontentItem%3A5W0W-D281-DXPM-S040-00000-00&amp;pdcontentcomponentid=403047&amp;pdteaserkey=sr4&amp;pditab=allpods&amp;ecomp=L75g&amp;earg=sr4&amp;prid=e089a3d2-61b6-4c34-a358-9b327e79d872#" TargetMode="External"/><Relationship Id="rId18" Type="http://schemas.openxmlformats.org/officeDocument/2006/relationships/hyperlink" Target="https://advance.lexis.com/document/lpadocument/?pdmfid=1518425&amp;crid=34dd0368-6ad4-454d-973e-40d62022c00d&amp;pddocfullpath=%2Fshared%2Fdocument%2Fforms-lpa-ca%2Furn%3AcontentItem%3A5W0W-D281-DXPM-S040-00000-00&amp;pdcontentcomponentid=403047&amp;pdteaserkey=sr4&amp;pditab=allpods&amp;ecomp=L75g&amp;earg=sr4&amp;prid=e089a3d2-61b6-4c34-a358-9b327e79d87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