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w:t>
      </w:r>
    </w:p>
    <w:p w:rsidR="00000000" w:rsidDel="00000000" w:rsidP="00000000" w:rsidRDefault="00000000" w:rsidRPr="00000000" w14:paraId="00000002">
      <w:pPr>
        <w:pStyle w:val="Heading4"/>
        <w:spacing w:before="0" w:line="240" w:lineRule="auto"/>
        <w:rPr>
          <w:rFonts w:ascii="Times New Roman" w:cs="Times New Roman" w:eastAsia="Times New Roman" w:hAnsi="Times New Roman"/>
          <w:b w:val="1"/>
          <w:bCs w:val="1"/>
          <w:color w:val="08122b"/>
          <w:u w:val="none"/>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u w:val="none"/>
          <w:rtl w:val="0"/>
        </w:rPr>
        <w:t xml:space="preserve">Professional Corporation</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r>
    </w:p>
    <w:p w:rsidR="00000000" w:rsidDel="00000000" w:rsidP="00000000" w:rsidRDefault="00000000" w:rsidRPr="00000000" w14:paraId="00000009">
      <w:pPr>
        <w:pStyle w:val="Title"/>
        <w:rPr/>
      </w:pPr>
      <w:bookmarkStart w:colFirst="0" w:colLast="0" w:name="_ajkbc8tn9asw" w:id="2"/>
      <w:bookmarkEnd w:id="2"/>
      <w:r w:rsidDel="00000000" w:rsidR="00000000" w:rsidRPr="00000000">
        <w:rPr>
          <w:rtl w:val="0"/>
        </w:rPr>
        <w:t xml:space="preserve">Corporate Law Practice - Shareholder Rights - Auditors </w:t>
      </w:r>
    </w:p>
    <w:p w:rsidR="00000000" w:rsidDel="00000000" w:rsidP="00000000" w:rsidRDefault="00000000" w:rsidRPr="00000000" w14:paraId="0000000A">
      <w:pPr>
        <w:pStyle w:val="Subtitle"/>
        <w:rPr/>
      </w:pPr>
      <w:bookmarkStart w:colFirst="0" w:colLast="0" w:name="_nqibd0adg555" w:id="3"/>
      <w:bookmarkEnd w:id="3"/>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4"/>
      <w:bookmarkEnd w:id="4"/>
      <w:r w:rsidDel="00000000" w:rsidR="00000000" w:rsidRPr="00000000">
        <w:rPr>
          <w:rtl w:val="0"/>
        </w:rPr>
      </w:r>
    </w:p>
    <w:p w:rsidR="00000000" w:rsidDel="00000000" w:rsidP="00000000" w:rsidRDefault="00000000" w:rsidRPr="00000000" w14:paraId="0000000C">
      <w:pPr>
        <w:spacing w:after="240" w:before="240" w:lineRule="auto"/>
        <w:rPr>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b w:val="1"/>
          <w:bCs w:val="1"/>
          <w:sz w:val="24"/>
          <w:szCs w:val="24"/>
          <w:rtl w:val="0"/>
        </w:rPr>
        <w:t xml:space="preserve">Auditors, Financial Statements, Auditor’s Reports, and Audit Committee</w:t>
      </w: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In accordance with the CBCA, shareholders of the Company are required at each annual meeting of the Company to pass an ordinary resolution appointing an auditor to hold office until the close of the next annual meeting. Unless the auditor is appointed by the court in accordance with the provisions of the CBCA, shareholders of the Company can remove the auditor from office by ordinary resolution at a special meeting of shareholders.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Under the CBCA, the directors of the Company must place before the shareholders at every annual meeting (a) comparative financial statements as prescribed in respect of the immediately preceding financial year; (b) comparative financial statements as prescribed in respect of the period that began immediately after the end of the last completed financial year and ended not more than six months before the annual meeting; (c) the report of the auditor, if any; and (c) any further information respecting the financial position of the corporation and the result of its operations required by the articles, the by-laws or any unanimous shareholder agreement.</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Company is required to prepare and file on SEDAR its annual financial statements and annual management discussion and analysis along with the report of the auditor, if any, within the prescribed period of time following financial year-end. The Company is also required to prepare and file on SEDAR its quarterly financial statements and interim management discussion and analysis within the prescribed period of time following the end of the first, second and third financial quarter.</w:t>
      </w:r>
    </w:p>
    <w:p w:rsidR="00000000" w:rsidDel="00000000" w:rsidP="00000000" w:rsidRDefault="00000000" w:rsidRPr="00000000" w14:paraId="00000011">
      <w:pPr>
        <w:spacing w:after="240" w:before="240" w:lineRule="auto"/>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ind w:left="5760" w:hanging="5760"/>
      <w:rPr/>
    </w:pPr>
    <w:r w:rsidDel="00000000" w:rsidR="00000000" w:rsidRPr="00000000">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