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0">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7gulivnb7dl8" w:id="5"/>
      <w:bookmarkEnd w:id="5"/>
      <w:r w:rsidDel="00000000" w:rsidR="00000000" w:rsidRPr="00000000">
        <w:rPr>
          <w:rtl w:val="0"/>
        </w:rPr>
        <w:t xml:space="preserve">Alteration of Share Capital*</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Under the OBCA, a corporation may alter its share capital.</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3">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c0goss7ns6vn" w:id="6"/>
      <w:bookmarkEnd w:id="6"/>
      <w:r w:rsidDel="00000000" w:rsidR="00000000" w:rsidRPr="00000000">
        <w:rPr>
          <w:rtl w:val="0"/>
        </w:rPr>
        <w:t xml:space="preserve">Alteration of Class of Shares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As noted above, the articles of the corporation must set out the authorized classes of shares and specify the rights, privileges, conditions and restrictions attached to each class. Any amendments to the constating documents of a corporation, including a change in the share structure of a class of shares, are effected by a shareholder resolution, followed by the appropriate governmental authority issuing a certificate of amendment (OBCA, ss. 22(4) and 168(1), (5)).</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amendment requires a special resolution, being a resolution approved by not less than two-thirds of the votes cast at a meeting of shareholders or a written resolution signed by all shareholders entitled to vote. The articles (or a unanimous shareholder agreement) may stipulate that a greater number of votes is required to amend the articles (OBCA, ss. 108 and 168; and see precedent: Shareholder Special Resolution (Amending Articles) (OBCA)). </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See also Articles of Amendment (Form 5261E) (OBCA), Shareholder Special Resolution Clause (Changing Authorized Capital) (OBCA), Shareholder Special Resolution Clause (Changing Rights of a Class Shares) (OBCA), Shareholder Special Resolution (New Class of Shares Clause) (OBCA) and Shareholder Special Resolutions Clause (Reducing Share Capital) (OBCA).)</w:t>
      </w:r>
    </w:p>
    <w:p w:rsidR="00000000" w:rsidDel="00000000" w:rsidP="00000000" w:rsidRDefault="00000000" w:rsidRPr="00000000" w14:paraId="00000017">
      <w:pPr>
        <w:pStyle w:val="Heading2"/>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bookmarkStart w:colFirst="0" w:colLast="0" w:name="_3p1gximkeots" w:id="7"/>
      <w:bookmarkEnd w:id="7"/>
      <w:r w:rsidDel="00000000" w:rsidR="00000000" w:rsidRPr="00000000">
        <w:rPr>
          <w:rtl w:val="0"/>
        </w:rPr>
        <w:br w:type="textWrapping"/>
      </w:r>
      <w:r w:rsidDel="00000000" w:rsidR="00000000" w:rsidRPr="00000000">
        <w:rPr>
          <w:b w:val="1"/>
          <w:bCs w:val="1"/>
          <w:i w:val="1"/>
          <w:iCs w:val="1"/>
          <w:rtl w:val="0"/>
        </w:rPr>
        <w:t xml:space="preserve">Alteration of Series of Shares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An exception to the general rule of shareholder approval for any change in share structure is the case of a class of shares issuable in series. As noted above, the articles may authorize the directors to issue shares in a series, fix the number of shares in the series and determine the designation, rights, privileges, restrictions and conditions attaching to the series. If such a provision is in the articles, shareholder approval is not required for the issuance of the series of shares or a change in share structure. The directors, nevertheless, must still consent and file articles of amendment setting forth the series share conditions (OBCA, ss. 25 and 168(2)).</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 </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trike w:val="1"/>
          <w:sz w:val="24"/>
          <w:szCs w:val="24"/>
          <w:rtl w:val="0"/>
        </w:rPr>
        <w:t xml:space="preserve">Special Voting Rights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rPr>
          <w:strike w:val="1"/>
        </w:rPr>
      </w:pPr>
      <w:r w:rsidDel="00000000" w:rsidR="00000000" w:rsidRPr="00000000">
        <w:rPr>
          <w:b w:val="1"/>
          <w:bCs w:val="1"/>
          <w:i w:val="1"/>
          <w:iCs w:val="1"/>
          <w:strike w:val="1"/>
          <w:sz w:val="24"/>
          <w:szCs w:val="24"/>
          <w:rtl w:val="0"/>
        </w:rPr>
        <w:br w:type="textWrapping"/>
      </w:r>
      <w:r w:rsidDel="00000000" w:rsidR="00000000" w:rsidRPr="00000000">
        <w:rPr>
          <w:strike w:val="1"/>
          <w:sz w:val="24"/>
          <w:szCs w:val="24"/>
          <w:rtl w:val="0"/>
        </w:rPr>
        <w:t xml:space="preserve">Holders of a class or a series of shares are entitled to vote separately as a class or series in certain circumstances. This right to a separate vote applies to amendments to the articles that could have a detrimental effect on the class or series. The right to a separate vote applies whether or not the shares otherwise carry a right to vote (OBCA, s. 170; and see: Voting and Non-voting Clauses (OBCA)).</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rPr>
          <w:strike w:val="1"/>
        </w:rPr>
      </w:pPr>
      <w:r w:rsidDel="00000000" w:rsidR="00000000" w:rsidRPr="00000000">
        <w:rPr>
          <w:strike w:val="1"/>
          <w:sz w:val="24"/>
          <w:szCs w:val="24"/>
          <w:rtl w:val="0"/>
        </w:rPr>
        <w:br w:type="textWrapping"/>
        <w:t xml:space="preserve">These special voting rights apply to any proposal to amend the articles to:</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Unless the articles otherwise provide, increase or decrease any maximum number of authorized shares of each class or series, or increase any maximum number of authorized shares of a class or series having rights or privileges equal or superior to the shares of each such class or series;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Unless the articles otherwise provide, effect an exchange, reclassification or cancellation of the shares of such class or series;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Add to, remove or change the rights, privileges, restrictions or conditions attached to the shares of such class or series and, without limiting the generality of the foregoing, remove or change prejudicially rights to accrued dividends or rights to cumulative dividends; add, remove or change prejudicially redemption rights or sinking fund provisions; reduce or remove a dividend preference or a liquidation preference; or add, remove or change prejudicially conversion privileges, options, voting, transfer or pre-emptive rights, or to acquire securities of a corporation;</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Add to the rights or privileges of any class or series of shares having rights or privileges equal or superior to the shares of such class or series;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Unless the articles otherwise provide, create a new class or series of shares equal or superior to the shares of such class or series (subject to certain exceptions);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Make a class or series of shares having rights or privileges inferior to the shares of such class or series equal or superior to the shares of such class or series;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Effect an exchange or create a right of exchange of the shares of another class or series into the shares of such class or series; or</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Add, remove or change restrictions on the issue, transfer or ownership of the shares of such class or series (OBCA, s. 170(1)).</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rPr>
          <w:strike w:val="1"/>
        </w:rPr>
      </w:pPr>
      <w:r w:rsidDel="00000000" w:rsidR="00000000" w:rsidRPr="00000000">
        <w:rPr>
          <w:strike w:val="1"/>
          <w:rtl w:val="0"/>
        </w:rPr>
        <w:br w:type="textWrapping"/>
      </w:r>
      <w:r w:rsidDel="00000000" w:rsidR="00000000" w:rsidRPr="00000000">
        <w:rPr>
          <w:strike w:val="1"/>
          <w:sz w:val="24"/>
          <w:szCs w:val="24"/>
          <w:rtl w:val="0"/>
        </w:rPr>
        <w:t xml:space="preserve">If the articles are amended in a way that detrimentally affects any class or series then shareholders of the affected class or series who voted against the proposal may demand that the corporation purchase their shares at fair value (OBCA, s. 169(2)).</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tl w:val="0"/>
        </w:rPr>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b w:val="1"/>
          <w:bCs w:val="1"/>
          <w:sz w:val="24"/>
          <w:szCs w:val="24"/>
          <w:rtl w:val="0"/>
        </w:rPr>
        <w:t xml:space="preserve">Reductions in Stated Capital</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A corporation may only reduce its stated capital in accordance with the OBCA and its articles of incorporation.</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By special resolution, a corporation may reduce its stated capital for any purpose, including for the purpose of:</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distributing to the holders of issued shares of any class or series of shares an amount not exceeding the stated capital of the class or series; or</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declaring its stated capital to be reduced by an amount that is not represented by realizable assets, or an amount otherwise determined in respect of which no amount is to be distributed to holders of issued shares of the corporation (OBCA, s. 34(1)(b)).</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An example of where a corporation may choose to reduce its stated capital would be where the corporation drops a particular business line and sells of its related assets thus having capital in excess of its needs.</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special resolution must specify the stated capital account(s) from which the reduction will be made (OBCA, s. 34(3)). Where a class or series of shares would be affected by a reduction of stated capital in a manner different from any other class or series of shares, the holders of the differently affected class or series of shares are entitled to vote separately, as a class or series, on a proposal to take the action, whether or not the shares otherwise carry the right to vote (OBCA, s. 34(2)).</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A corporation cannot reduce its stated capital, except for the purpose of declaring its stated capital to be reduced by an amount that is not represented by realizable assets, if there are reasonable grounds for believing that:</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taking of such action, would be unable to pay its liabilities as they become due; or </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taking of such action, the realizable value of the corporation's assets would be less than the aggregate of its liabilities (OBCA, s. 34(4)).</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before="120" w:line="327.27272727272725" w:lineRule="auto"/>
        <w:rPr/>
      </w:pPr>
      <w:r w:rsidDel="00000000" w:rsidR="00000000" w:rsidRPr="00000000">
        <w:rPr>
          <w:rtl w:val="0"/>
        </w:rPr>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before="120" w:line="327.27272727272725" w:lineRule="auto"/>
        <w:ind w:left="720" w:hanging="360"/>
      </w:pPr>
      <w:r w:rsidDel="00000000" w:rsidR="00000000" w:rsidRPr="00000000">
        <w:rPr>
          <w:sz w:val="24"/>
          <w:szCs w:val="24"/>
          <w:rtl w:val="0"/>
        </w:rPr>
        <w:t xml:space="preserve">A creditor of the corporation is entitled to apply to the court for an order compelling a shareholder or other recipient to pay to the corporation an amount equal to any liability of the shareholder that was extinguished or reduced improperly, or to pay or deliver to the corporation any money or property that was paid or distributed to the shareholder or other recipient as a consequence of a reduction of capital made contrary to the rules (OBCA, s. 34(5)). Where numerous shareholders may be liable, a class action may be permitted (OBCA, s. 34(7)).</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before="0" w:line="300" w:lineRule="auto"/>
        <w:rPr>
          <w:sz w:val="24"/>
          <w:szCs w:val="24"/>
        </w:rPr>
      </w:pP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t xml:space="preserve">See Shareholder Special Resolutions Clause (Reducing Share Capital) (OBCA).</w:t>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620" w:before="340" w:line="408" w:lineRule="auto"/>
        <w:ind w:lef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