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40" w:before="240" w:lineRule="auto"/>
        <w:rPr/>
      </w:pPr>
      <w:bookmarkStart w:colFirst="0" w:colLast="0" w:name="_gwsdohfhy7z8" w:id="5"/>
      <w:bookmarkEnd w:id="5"/>
      <w:r w:rsidDel="00000000" w:rsidR="00000000" w:rsidRPr="00000000">
        <w:rPr>
          <w:rtl w:val="0"/>
        </w:rPr>
        <w:t xml:space="preserve">Overview</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6">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rnbt9w2bge5n" w:id="6"/>
      <w:bookmarkEnd w:id="6"/>
      <w:r w:rsidDel="00000000" w:rsidR="00000000" w:rsidRPr="00000000">
        <w:rPr>
          <w:rtl w:val="0"/>
        </w:rPr>
        <w:t xml:space="preserve">Dividends**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t xml:space="preserve">A dividend is essentially a distribution of earnings made by a corporation among its shareholders, the procedure for the declaration of which is provided in the articles, by-laws and any unanimous shareholder agreement of the corporation.</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 corporation can pay a dividend on its shares by issuing fully paid shares of the corporation or, if it meets a solvency test, in money or property (OBCA, s. 38(1)). </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Dividends must be declared to create an enforceable payment obligation, and are typically declared by way of a resolution of the directors although that power may be granted to the shareholders in a unanimous shareholder agreement. While there is no specific wording required to declare a dividend, provided it is clear that the intention was to distribute the profits to a certain extent among the shareholders concerned, it is recommended that the director's resolution expressly declare a dividend and set out the amount of the dividend. The resolution may also specify a particular mode of payment and/or fix a date as the record date for purposes of determining the shareholders entitled to receive the dividend, which record date must not precede the date when the dividends are actually paid by more than 50 days (OBCA, s. 95(1)). See precedents: Board Resolution (Declaring Dividend) (OBCA) and, Board Resolution (Declaring In-Specie Dividend) (OBCA).</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 A corporation cannot declare or pay a dividend if there are reasonable grounds for believing that:</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payment, would be unable to pay its liabilities as they become due; or</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realizable value of the corporation's assets would thereby be less than the aggregate of its liabilities and stated capital of all classes (OBCA, s. 38(3)).</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Directors of a corporation who vote for or consent to a resolution authorizing payment of a dividend contrary to this provision are jointly and severally liable to restore to the corporation any amounts paid and not otherwise recovered by the corporation (OBCA, s. 130(2)). However, a director liable pursuant to s. 130(2) can apply to a court for an order compelling shareholders to pay to the director any money that was paid to the shareholder contrary to the solvency requirement, and a court may order such payment by the shareholder if it is satisfied that it is equitable to do so (OBCA, s. 130(4), (5)).</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If the corporation has different classes of shares, with differing rights to dividends, preferential dividends must be paid in full before any dividend is paid on the common shares. However, as noted above, a corporation is prohibited from giving of a priority to dividends in favour of one series of shares of a class over another series of shares of the same class (OBCA, s. 25(3)). </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Unless otherwise provided in the articles, holders of fractional shares are not entitled to receive dividends in respect of them (OBCA, s. 57(3) and see Fractional Share Rights Clause (Articles of Incorporation) (CBCA, OBCA)).</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If shares of a corporation are issued in payment of a dividend, the corporation may add all or part of the value of those shares to the stated capital account of the corporation maintained or to be maintained for the shares of the class or series issued in payment of the dividend (OBCA, s. 38(2)).</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