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Levine Professional Corporation</w:t>
      </w:r>
    </w:p>
    <w:p w:rsidR="00000000" w:rsidDel="00000000" w:rsidP="00000000" w:rsidRDefault="00000000" w:rsidRPr="00000000" w14:paraId="00000002">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6">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7">
      <w:pPr>
        <w:spacing w:before="0" w:line="240" w:lineRule="auto"/>
        <w:rPr/>
      </w:pPr>
      <w:r w:rsidDel="00000000" w:rsidR="00000000" w:rsidRPr="00000000">
        <w:rPr>
          <w:rtl w:val="0"/>
        </w:rPr>
      </w:r>
    </w:p>
    <w:p w:rsidR="00000000" w:rsidDel="00000000" w:rsidP="00000000" w:rsidRDefault="00000000" w:rsidRPr="00000000" w14:paraId="00000008">
      <w:pPr>
        <w:pStyle w:val="Title"/>
        <w:jc w:val="both"/>
        <w:rPr/>
      </w:pPr>
      <w:bookmarkStart w:colFirst="0" w:colLast="0" w:name="_ajkbc8tn9asw" w:id="1"/>
      <w:bookmarkEnd w:id="1"/>
      <w:r w:rsidDel="00000000" w:rsidR="00000000" w:rsidRPr="00000000">
        <w:rPr>
          <w:rtl w:val="0"/>
        </w:rPr>
        <w:t xml:space="preserve">Corporate Law Practice - Shareholder Rights - Shares and Share Capital</w:t>
      </w:r>
    </w:p>
    <w:p w:rsidR="00000000" w:rsidDel="00000000" w:rsidP="00000000" w:rsidRDefault="00000000" w:rsidRPr="00000000" w14:paraId="00000009">
      <w:pPr>
        <w:pStyle w:val="Subtitle"/>
        <w:rPr/>
      </w:pPr>
      <w:bookmarkStart w:colFirst="0" w:colLast="0" w:name="_nqibd0adg555" w:id="2"/>
      <w:bookmarkEnd w:id="2"/>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0x2tf3yklo3" w:id="3"/>
      <w:bookmarkEnd w:id="3"/>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pr212mt1oyil" w:id="4"/>
      <w:bookmarkEnd w:id="4"/>
      <w:r w:rsidDel="00000000" w:rsidR="00000000" w:rsidRPr="00000000">
        <w:rPr>
          <w:rtl w:val="0"/>
        </w:rPr>
        <w:t xml:space="preserve">OBCA</w:t>
      </w:r>
    </w:p>
    <w:p w:rsidR="00000000" w:rsidDel="00000000" w:rsidP="00000000" w:rsidRDefault="00000000" w:rsidRPr="00000000" w14:paraId="0000000E">
      <w:pPr>
        <w:spacing w:after="240" w:before="240" w:lineRule="auto"/>
        <w:rPr/>
      </w:pPr>
      <w:r w:rsidDel="00000000" w:rsidR="00000000" w:rsidRPr="00000000">
        <w:rPr>
          <w:rtl w:val="0"/>
        </w:rPr>
        <w:t xml:space="preserve">  </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pacing w:before="0" w:line="300" w:lineRule="auto"/>
        <w:ind w:left="0" w:firstLine="0"/>
        <w:rPr/>
      </w:pPr>
      <w:r w:rsidDel="00000000" w:rsidR="00000000" w:rsidRPr="00000000">
        <w:rPr>
          <w:rtl w:val="0"/>
        </w:rPr>
      </w:r>
    </w:p>
    <w:p w:rsidR="00000000" w:rsidDel="00000000" w:rsidP="00000000" w:rsidRDefault="00000000" w:rsidRPr="00000000" w14:paraId="00000013">
      <w:pPr>
        <w:pStyle w:val="Heading1"/>
        <w:rPr/>
      </w:pPr>
      <w:bookmarkStart w:colFirst="0" w:colLast="0" w:name="_65r40go1ttm" w:id="5"/>
      <w:bookmarkEnd w:id="5"/>
      <w:r w:rsidDel="00000000" w:rsidR="00000000" w:rsidRPr="00000000">
        <w:rPr>
          <w:rtl w:val="0"/>
        </w:rPr>
        <w:t xml:space="preserve">Stated Capital Accounts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pacing w:before="0" w:line="300" w:lineRule="auto"/>
        <w:ind w:left="720" w:hanging="360"/>
      </w:pPr>
      <w:r w:rsidDel="00000000" w:rsidR="00000000" w:rsidRPr="00000000">
        <w:rPr>
          <w:sz w:val="24"/>
          <w:szCs w:val="24"/>
          <w:rtl w:val="0"/>
        </w:rPr>
        <w:t xml:space="preserve">The stated capital of a corporation is the total amount of the consideration received by the corporation in exchange for the issue of shares to its shareholders, expressed as a monetary amount. The consideration received by a corporation on the issue of each share must be credited to the stated capital account for the class or series to which the issued share belongs. Only the shares that have been issued and fully paid for will form part of the stated capital of a corporation and are considered issued and outstanding. </w:t>
      </w:r>
      <w:r w:rsidDel="00000000" w:rsidR="00000000" w:rsidRPr="00000000">
        <w:rPr>
          <w:sz w:val="24"/>
          <w:szCs w:val="24"/>
          <w:u w:val="single"/>
          <w:rtl w:val="0"/>
        </w:rPr>
        <w:t xml:space="preserve">A corporation must maintain a separate stated capital account for each class and series of shares it issues, with certain exceptions (OBCA, s. 24).</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620" w:before="340" w:line="408" w:lineRule="auto"/>
        <w:ind w:left="0" w:firstLine="0"/>
        <w:jc w:val="left"/>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Verdana"/>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ind w:left="5760" w:hanging="5760"/>
      <w:rPr/>
    </w:pPr>
    <w:r w:rsidDel="00000000" w:rsidR="00000000" w:rsidRPr="00000000">
      <w:rPr/>
      <w:drawing>
        <wp:inline distB="114300" distT="114300" distL="114300" distR="114300">
          <wp:extent cx="1485900" cy="800100"/>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485900" cy="800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color w:val="212121"/>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