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Levine Professional Corporation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6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both"/>
        <w:rPr/>
      </w:pPr>
      <w:bookmarkStart w:colFirst="0" w:colLast="0" w:name="_ajkbc8tn9asw" w:id="1"/>
      <w:bookmarkEnd w:id="1"/>
      <w:r w:rsidDel="00000000" w:rsidR="00000000" w:rsidRPr="00000000">
        <w:rPr>
          <w:rtl w:val="0"/>
        </w:rPr>
        <w:t xml:space="preserve">Corporate Law Practice - Shareholder Rights - Shares and Share Capital</w:t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nqibd0adg5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pr212mt1oyil" w:id="4"/>
      <w:bookmarkEnd w:id="4"/>
      <w:r w:rsidDel="00000000" w:rsidR="00000000" w:rsidRPr="00000000">
        <w:rPr>
          <w:rtl w:val="0"/>
        </w:rPr>
        <w:t xml:space="preserve">OBCA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40" w:line="408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Ontario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Business Corporations Act</w:t>
      </w:r>
      <w:r w:rsidDel="00000000" w:rsidR="00000000" w:rsidRPr="00000000">
        <w:rPr>
          <w:sz w:val="24"/>
          <w:szCs w:val="24"/>
          <w:rtl w:val="0"/>
        </w:rPr>
        <w:t xml:space="preserve">, R.S.O. 1990, c. B.16 ("OBCA")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240" w:before="240" w:lineRule="auto"/>
        <w:rPr/>
      </w:pPr>
      <w:bookmarkStart w:colFirst="0" w:colLast="0" w:name="_gwsdohfhy7z8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40" w:line="408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sz w:val="24"/>
          <w:szCs w:val="24"/>
          <w:rtl w:val="0"/>
        </w:rPr>
        <w:t xml:space="preserve">sub-folder reviews matters related to the shares that a corporation can authorize under the OBCA. Specifically, it provides guidance on: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4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authorized and issued capital,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classes and series of shares,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Stated capital accounts (aka cap table?)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alteration of share capital and reductions in share capital.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 issuances,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 certificates and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 transfers (including the application of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Securities Transfer Act, 2006</w:t>
      </w:r>
      <w:r w:rsidDel="00000000" w:rsidR="00000000" w:rsidRPr="00000000">
        <w:rPr>
          <w:sz w:val="24"/>
          <w:szCs w:val="24"/>
          <w:rtl w:val="0"/>
        </w:rPr>
        <w:t xml:space="preserve">, S.O. 2006, c. 8 ("STA")).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Corporate Law Practice - Shares and Share Capital - Transfers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Dividends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Corporate Law Practice - Shares and Share Capital - Dividends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 redemptions and repurchases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Copy of Corporate Law Practice - Shares and Share Capital - Redemptions &amp; Repurchases</w:t>
        </w:r>
      </w:hyperlink>
      <w:r w:rsidDel="00000000" w:rsidR="00000000" w:rsidRPr="00000000">
        <w:rPr>
          <w:sz w:val="24"/>
          <w:szCs w:val="24"/>
          <w:rtl w:val="0"/>
        </w:rPr>
        <w:t xml:space="preserve"> and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0" w:beforeAutospacing="0" w:line="408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return of capital - </w:t>
      </w: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Corporate Law Practice - Shares and Share Capital - Return of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40" w:line="408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485900" cy="800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48590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vA0jrwemTee3KKdosjH8KdPCR4KpW7cfSgk7KJIEaY/edit?tab=t.0#heading=h.1yfckedhpjf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V-theS90Jloyv8vVhx4MAW8zqXbYioksNwtadObTAk/edit?tab=t.0" TargetMode="External"/><Relationship Id="rId7" Type="http://schemas.openxmlformats.org/officeDocument/2006/relationships/hyperlink" Target="https://docs.google.com/document/d/1EMYHZ1XqNAanzTd9SayK-xwT5Oex2Qvr6Gxme2a2t2M/edit?tab=t.0#heading=h.1yfckedhpjf4" TargetMode="External"/><Relationship Id="rId8" Type="http://schemas.openxmlformats.org/officeDocument/2006/relationships/hyperlink" Target="https://docs.google.com/document/d/13uyX4gwBlXBA7mOrGOjMv571wYkwBm4X-eAo1f9cqRc/edit?tab=t.0#heading=h.1yfckedhpjf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