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4iy0qy1yt50s" w:id="0"/>
      <w:bookmarkEnd w:id="0"/>
      <w:r w:rsidDel="00000000" w:rsidR="00000000" w:rsidRPr="00000000">
        <w:rPr>
          <w:rtl w:val="0"/>
        </w:rPr>
        <w:t xml:space="preserve">Purification Transaction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purification transaction is a term for any reorganization aimed at ensuring a corporation qualifies as a small business corporation (SBC). It may involve transferring non-qualifying assets to: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Shareholders directly (via dividends or redemptions).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Holding corporations (for passive asset management).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Other entities without invoking the butterfly rules.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 </w:t>
        <w:tab/>
        <w:t xml:space="preserve">Butterfly transaction(s)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/>
      </w:pPr>
      <w:bookmarkStart w:colFirst="0" w:colLast="0" w:name="_nh1ujw1a7wcc" w:id="1"/>
      <w:bookmarkEnd w:id="1"/>
      <w:r w:rsidDel="00000000" w:rsidR="00000000" w:rsidRPr="00000000">
        <w:rPr>
          <w:rtl w:val="0"/>
        </w:rPr>
        <w:t xml:space="preserve">Key features of a general purification transaction: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requirement for proportionality: Non-qualifying assets are removed without needing to follow strict proportionality rules.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It is typically simpler when related parties or individual shareholders are involved.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Can result in immediate tax consequences (e.g., deemed dividends or capital gains) if no rollover provisions apply.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