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ajkbc8tn9asw" w:id="0"/>
      <w:bookmarkEnd w:id="0"/>
      <w:r w:rsidDel="00000000" w:rsidR="00000000" w:rsidRPr="00000000">
        <w:rPr>
          <w:rtl w:val="0"/>
        </w:rPr>
        <w:t xml:space="preserve">Diligence - Asset / Share Deal – 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sp79cxbd8d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x6xahois2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djuclt1arm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6k7bkc2a7nht" w:id="4"/>
      <w:bookmarkEnd w:id="4"/>
      <w:r w:rsidDel="00000000" w:rsidR="00000000" w:rsidRPr="00000000">
        <w:rPr>
          <w:color w:val="1d4771"/>
          <w:rtl w:val="0"/>
        </w:rPr>
        <w:t xml:space="preserve">Resources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https://www.lawsociety.bc.ca/Website/media/Shared/docs/practice/checklists/b-3.pdf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https://www.canlii.org/en/commentary/doc/2000CanLIIDocs388#!fragment/zoupio-_Tocpdf_bk_19_2/BQCwhgziBcwMYgK4DsDWszIQewE4BUBTADwBdoAvbRABwEtsBaAfX2zhoBMAzZgI1TMAjAE5mAJgCUAGmTZShCAEVEhXAE9oAci3SIhMLgQq1mnXoNGQAZTykAQpoBKAUQAyLgGoBBAHIBhF2lSMD5oUnZJSSA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ind w:left="0" w:firstLine="0"/>
      <w:jc w:val="left"/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