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Suite 700 - 1235 Bay Street</w:t>
      </w:r>
    </w:p>
    <w:p w:rsidR="00000000" w:rsidDel="00000000" w:rsidP="00000000" w:rsidRDefault="00000000" w:rsidRPr="00000000" w14:paraId="00000002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Yorkville, Toronto, M5R 3K4 </w:t>
      </w:r>
    </w:p>
    <w:p w:rsidR="00000000" w:rsidDel="00000000" w:rsidP="00000000" w:rsidRDefault="00000000" w:rsidRPr="00000000" w14:paraId="00000003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+1 (647) 598-2598</w:t>
      </w:r>
    </w:p>
    <w:p w:rsidR="00000000" w:rsidDel="00000000" w:rsidP="00000000" w:rsidRDefault="00000000" w:rsidRPr="00000000" w14:paraId="00000004">
      <w:pPr>
        <w:spacing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office@levinelegal.ca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both"/>
        <w:rPr/>
      </w:pPr>
      <w:bookmarkStart w:colFirst="0" w:colLast="0" w:name="_ajkbc8tn9asw" w:id="0"/>
      <w:bookmarkEnd w:id="0"/>
      <w:r w:rsidDel="00000000" w:rsidR="00000000" w:rsidRPr="00000000">
        <w:rPr>
          <w:rtl w:val="0"/>
        </w:rPr>
        <w:t xml:space="preserve">Diligence - MSB License Holder</w:t>
      </w:r>
    </w:p>
    <w:p w:rsidR="00000000" w:rsidDel="00000000" w:rsidP="00000000" w:rsidRDefault="00000000" w:rsidRPr="00000000" w14:paraId="00000006">
      <w:pPr>
        <w:pStyle w:val="Subtitle"/>
        <w:rPr/>
      </w:pPr>
      <w:bookmarkStart w:colFirst="0" w:colLast="0" w:name="_sp79cxbd8d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fx6xahois27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3djuclt1arm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>
          <w:b w:val="1"/>
          <w:bCs w:val="1"/>
        </w:rPr>
      </w:pPr>
      <w:bookmarkStart w:colFirst="0" w:colLast="0" w:name="_6k7bkc2a7nht" w:id="4"/>
      <w:bookmarkEnd w:id="4"/>
      <w:r w:rsidDel="00000000" w:rsidR="00000000" w:rsidRPr="00000000">
        <w:rPr>
          <w:color w:val="1d4771"/>
          <w:rtl w:val="0"/>
        </w:rPr>
        <w:t xml:space="preserve">Diligence 1: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rruzrn2ty78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cp2ia33seb4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umiz2gt21fg" w:id="7"/>
      <w:bookmarkEnd w:id="7"/>
      <w:r w:rsidDel="00000000" w:rsidR="00000000" w:rsidRPr="00000000">
        <w:rPr>
          <w:rtl w:val="0"/>
        </w:rPr>
        <w:t xml:space="preserve">Corporate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 company registered in British Columbia and in good standing with the BC Corporate Registry?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we please review the Articles of Incorporation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 company subject to any constating documents other than the Articles of INcorporation, for instance by-laws or unanimous shareholder agreements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we please review the Company’s minutebook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utbpb2u3gmo5" w:id="8"/>
      <w:bookmarkEnd w:id="8"/>
      <w:r w:rsidDel="00000000" w:rsidR="00000000" w:rsidRPr="00000000">
        <w:rPr>
          <w:rtl w:val="0"/>
        </w:rPr>
        <w:t xml:space="preserve">Regulatory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 company registered with FINTRAC as a money services business 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registration in good standing?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company have a compliance program aligned with Canada's anti-money laundering (AML) and anti-terrorist financing (ATF) laws?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the company complied with FINTRAC's reporting and recordkeeping obligations 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any past or ongoing regulatory investigations, fines, or enforcement actions against the company?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40" w:before="240" w:lineRule="auto"/>
        <w:rPr/>
      </w:pPr>
      <w:bookmarkStart w:colFirst="0" w:colLast="0" w:name="_vgmr7pntstl5" w:id="9"/>
      <w:bookmarkEnd w:id="9"/>
      <w:r w:rsidDel="00000000" w:rsidR="00000000" w:rsidRPr="00000000">
        <w:rPr>
          <w:rtl w:val="0"/>
        </w:rPr>
        <w:t xml:space="preserve">Operational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there any transactions?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so, 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there  controls being implemented 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 the company conducted internal or third-party audits to assess compliance?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there any red flags from past operations (e.g., high-risk jurisdictions, unusual transaction patterns)?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40" w:before="240" w:lineRule="auto"/>
        <w:rPr/>
      </w:pPr>
      <w:bookmarkStart w:colFirst="0" w:colLast="0" w:name="_8x9qtetuna8w" w:id="10"/>
      <w:bookmarkEnd w:id="10"/>
      <w:r w:rsidDel="00000000" w:rsidR="00000000" w:rsidRPr="00000000">
        <w:rPr>
          <w:rtl w:val="0"/>
        </w:rPr>
        <w:t xml:space="preserve">Third-Party Relationships: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the company rely on agents or affiliates, and are these third parties compliant?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written agreements governing relationships with payment processors, banks, and other service providers?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40" w:before="240" w:lineRule="auto"/>
        <w:rPr/>
      </w:pPr>
      <w:bookmarkStart w:colFirst="0" w:colLast="0" w:name="_smbb3gptpt7v" w:id="11"/>
      <w:bookmarkEnd w:id="11"/>
      <w:r w:rsidDel="00000000" w:rsidR="00000000" w:rsidRPr="00000000">
        <w:rPr>
          <w:rtl w:val="0"/>
        </w:rPr>
        <w:t xml:space="preserve">License Transferability and Conditions: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there any restrictions on transferring or maintaining the MSB license post-acquisition?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are restrictions on transfer and post-acquisition maintenance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changes in ownership trigger additional regulatory requirements or scrutiny?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Must file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jzrbngksrnb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40" w:before="240" w:lineRule="auto"/>
        <w:rPr/>
      </w:pPr>
      <w:bookmarkStart w:colFirst="0" w:colLast="0" w:name="_lxyz1xb8w6vj" w:id="13"/>
      <w:bookmarkEnd w:id="13"/>
      <w:r w:rsidDel="00000000" w:rsidR="00000000" w:rsidRPr="00000000">
        <w:rPr>
          <w:rtl w:val="0"/>
        </w:rPr>
        <w:t xml:space="preserve">Diligence 2: </w:t>
      </w:r>
      <w:r w:rsidDel="00000000" w:rsidR="00000000" w:rsidRPr="00000000">
        <w:rPr>
          <w:rtl w:val="0"/>
        </w:rPr>
        <w:t xml:space="preserve">License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40" w:before="240" w:lineRule="auto"/>
        <w:rPr/>
      </w:pPr>
      <w:bookmarkStart w:colFirst="0" w:colLast="0" w:name="_b3crc8qjgp3" w:id="14"/>
      <w:bookmarkEnd w:id="14"/>
      <w:r w:rsidDel="00000000" w:rsidR="00000000" w:rsidRPr="00000000">
        <w:rPr>
          <w:rtl w:val="0"/>
        </w:rPr>
        <w:t xml:space="preserve">Licensing Documents: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 of the MSB license and proof of registration with FINTRAC.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FINTRAC correspondence, including any notifications of non-compliance or corrective action plans.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Records of all regulatory filings submitted to FINTRAC.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40" w:before="240" w:lineRule="auto"/>
        <w:rPr/>
      </w:pPr>
      <w:bookmarkStart w:colFirst="0" w:colLast="0" w:name="_p7et0qz3w76g" w:id="15"/>
      <w:bookmarkEnd w:id="15"/>
      <w:r w:rsidDel="00000000" w:rsidR="00000000" w:rsidRPr="00000000">
        <w:rPr>
          <w:rtl w:val="0"/>
        </w:rPr>
        <w:t xml:space="preserve">Change of Control Considerations: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Documentation on regulatory conditions or restrictions tied to ownership changes.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Copies of all filings made or required to be made to FINTRAC in connection with the proposed acquisition.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Regulatory timelines and steps required for notifying FINTRAC or obtaining approval for the transaction.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353744"/>
          <w:u w:val="none"/>
        </w:rPr>
      </w:pPr>
      <w:bookmarkStart w:colFirst="0" w:colLast="0" w:name="_efzo77m8wgll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353744"/>
          <w:u w:val="none"/>
        </w:rPr>
      </w:pPr>
      <w:bookmarkStart w:colFirst="0" w:colLast="0" w:name="_e6hhvyvea1mh" w:id="17"/>
      <w:bookmarkEnd w:id="17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u w:val="none"/>
          <w:rtl w:val="0"/>
        </w:rPr>
        <w:t xml:space="preserve">Compliance Program: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AML/ATF policies and procedures, including compliance manuals.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of CDD/KYC protocols and samples of completed forms.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Details of systems or software used for transaction monitoring and suspicious transaction reporting.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of internal or external AML/ATF audits conducted in the past three years.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materials and records for employees on AML/ATF compliance.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353744"/>
          <w:u w:val="none"/>
        </w:rPr>
      </w:pPr>
      <w:bookmarkStart w:colFirst="0" w:colLast="0" w:name="_p1znu2pbi0le" w:id="18"/>
      <w:bookmarkEnd w:id="18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u w:val="none"/>
          <w:rtl w:val="0"/>
        </w:rPr>
        <w:t xml:space="preserve">Operational and Transactional Records: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Historical data on transaction volumes, types, and jurisdictions.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Transaction Reports (STRs), Terrorist Property Reports (TPRs), and Large Cash Transaction Reports (LCTRs) filed with FINTRAC.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Details of high-risk customers or transactions flagged by internal systems.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353744"/>
          <w:u w:val="none"/>
        </w:rPr>
      </w:pPr>
      <w:bookmarkStart w:colFirst="0" w:colLast="0" w:name="_wxtyerm87ggr" w:id="19"/>
      <w:bookmarkEnd w:id="19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u w:val="none"/>
          <w:rtl w:val="0"/>
        </w:rPr>
        <w:t xml:space="preserve">Legal and Regulatory: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of past or pending regulatory investigations, enforcement actions, or fines.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Copies of agreements with banks, payment processors, and other financial institutions.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Details of any compliance-related litigation or disputes.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04E">
      <w:pPr>
        <w:pStyle w:val="Heading2"/>
        <w:shd w:fill="ffffff" w:val="clear"/>
        <w:spacing w:after="40" w:before="240" w:line="288" w:lineRule="auto"/>
        <w:rPr/>
      </w:pPr>
      <w:bookmarkStart w:colFirst="0" w:colLast="0" w:name="_9zctqsmxydmf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hd w:fill="ffffff" w:val="clear"/>
        <w:spacing w:after="40" w:before="240" w:line="288" w:lineRule="auto"/>
        <w:rPr/>
      </w:pPr>
      <w:bookmarkStart w:colFirst="0" w:colLast="0" w:name="_9zctqsmxydmf" w:id="20"/>
      <w:bookmarkEnd w:id="20"/>
      <w:r w:rsidDel="00000000" w:rsidR="00000000" w:rsidRPr="00000000">
        <w:rPr>
          <w:rtl w:val="0"/>
        </w:rPr>
        <w:t xml:space="preserve">Diligence 2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shd w:fill="ffffff" w:val="clear"/>
        <w:spacing w:after="40" w:before="240" w:line="288" w:lineRule="auto"/>
        <w:rPr/>
      </w:pPr>
      <w:bookmarkStart w:colFirst="0" w:colLast="0" w:name="_plitq8lly84q" w:id="21"/>
      <w:bookmarkEnd w:id="21"/>
      <w:r w:rsidDel="00000000" w:rsidR="00000000" w:rsidRPr="00000000">
        <w:rPr>
          <w:rtl w:val="0"/>
        </w:rPr>
        <w:t xml:space="preserve">Registration Documents: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before="0" w:lineRule="auto"/>
        <w:ind w:left="720" w:hanging="360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  <w:t xml:space="preserve">proof of registration with FINTRAC.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before="0" w:lineRule="auto"/>
        <w:ind w:left="720" w:hanging="360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highlight w:val="green"/>
          <w:rtl w:val="0"/>
        </w:rPr>
        <w:t xml:space="preserve">Records of all filings submitted to FINTRAC.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before="0" w:lineRule="auto"/>
        <w:ind w:left="720" w:hanging="360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highlight w:val="green"/>
          <w:rtl w:val="0"/>
        </w:rPr>
        <w:t xml:space="preserve">All FINTRAC correspondence, including any notifications of non-compliance or corrective action.</w:t>
      </w:r>
    </w:p>
    <w:p w:rsidR="00000000" w:rsidDel="00000000" w:rsidP="00000000" w:rsidRDefault="00000000" w:rsidRPr="00000000" w14:paraId="00000055">
      <w:pPr>
        <w:pStyle w:val="Heading4"/>
        <w:shd w:fill="ffffff" w:val="clear"/>
        <w:spacing w:after="40" w:before="240" w:line="288" w:lineRule="auto"/>
        <w:rPr/>
      </w:pPr>
      <w:bookmarkStart w:colFirst="0" w:colLast="0" w:name="_oekmzmzcoiju" w:id="22"/>
      <w:bookmarkEnd w:id="22"/>
      <w:r w:rsidDel="00000000" w:rsidR="00000000" w:rsidRPr="00000000">
        <w:rPr>
          <w:rtl w:val="0"/>
        </w:rPr>
        <w:t xml:space="preserve">Change of Control: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before="0" w:lineRule="auto"/>
        <w:ind w:left="720" w:hanging="360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  <w:t xml:space="preserve">Directors' resignation resolution effective date of sale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before="0" w:lineRule="auto"/>
        <w:ind w:left="720" w:hanging="360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  <w:t xml:space="preserve">Company key for BC corporate registry 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before="0" w:lineRule="auto"/>
        <w:ind w:left="720" w:hanging="360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  <w:t xml:space="preserve">Copies of all filings made or required to be made to FINTRAC in connection with the proposed acquisition.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before="0" w:lineRule="auto"/>
        <w:ind w:left="720" w:hanging="360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  <w:t xml:space="preserve">Regulatory timelines and steps required for notifying FINTRAC or obtaining approval for the transaction.</w:t>
      </w:r>
    </w:p>
    <w:p w:rsidR="00000000" w:rsidDel="00000000" w:rsidP="00000000" w:rsidRDefault="00000000" w:rsidRPr="00000000" w14:paraId="0000005A">
      <w:pPr>
        <w:pStyle w:val="Heading4"/>
        <w:rPr/>
      </w:pPr>
      <w:bookmarkStart w:colFirst="0" w:colLast="0" w:name="_bqpmbzrvy8fz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rPr/>
      </w:pPr>
      <w:bookmarkStart w:colFirst="0" w:colLast="0" w:name="_7ih9wtwroytj" w:id="24"/>
      <w:bookmarkEnd w:id="24"/>
      <w:r w:rsidDel="00000000" w:rsidR="00000000" w:rsidRPr="00000000">
        <w:rPr>
          <w:rtl w:val="0"/>
        </w:rPr>
        <w:t xml:space="preserve">Operational 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before="0" w:lineRule="auto"/>
        <w:ind w:left="720" w:hanging="360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  <w:t xml:space="preserve">Existing AML/ATF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before="0" w:lineRule="auto"/>
        <w:ind w:left="720" w:hanging="360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highlight w:val="white"/>
          <w:u w:val="none"/>
          <w:rtl w:val="0"/>
        </w:rPr>
        <w:t xml:space="preserve">Historical data on transaction volumes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before="0" w:lineRule="auto"/>
        <w:ind w:left="720" w:hanging="360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highlight w:val="white"/>
          <w:u w:val="none"/>
          <w:rtl w:val="0"/>
        </w:rPr>
        <w:t xml:space="preserve">List of past or pending regulatory investigations, enforcement actions, or fines -- or confirmation of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before="0" w:lineRule="auto"/>
        <w:ind w:left="720" w:hanging="360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highlight w:val="white"/>
          <w:u w:val="none"/>
          <w:rtl w:val="0"/>
        </w:rPr>
        <w:t xml:space="preserve">Copies of agreements with banks, payment processors, and other financial institutions -- or confirmation of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before="0" w:lineRule="auto"/>
        <w:ind w:left="720" w:hanging="360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highlight w:val="white"/>
          <w:u w:val="none"/>
          <w:rtl w:val="0"/>
        </w:rPr>
        <w:t xml:space="preserve">records of any compliance-related litigation or disputes</w:t>
      </w:r>
      <w:r w:rsidDel="00000000" w:rsidR="00000000" w:rsidRPr="00000000">
        <w:rPr>
          <w:highlight w:val="white"/>
          <w:rtl w:val="0"/>
        </w:rPr>
        <w:t xml:space="preserve"> -- or confirmation of none</w:t>
      </w:r>
    </w:p>
    <w:p w:rsidR="00000000" w:rsidDel="00000000" w:rsidP="00000000" w:rsidRDefault="00000000" w:rsidRPr="00000000" w14:paraId="00000061">
      <w:pPr>
        <w:spacing w:before="0" w:lineRule="auto"/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vfjo5xp4a1fm" w:id="25"/>
      <w:bookmarkEnd w:id="25"/>
      <w:r w:rsidDel="00000000" w:rsidR="00000000" w:rsidRPr="00000000">
        <w:rPr>
          <w:b w:val="1"/>
          <w:bCs w:val="1"/>
          <w:rtl w:val="0"/>
        </w:rPr>
        <w:t xml:space="preserve">Change of Control Considerations for a FINTRAC MSB License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ecjwxs6p3myg" w:id="26"/>
      <w:bookmarkEnd w:id="26"/>
      <w:r w:rsidDel="00000000" w:rsidR="00000000" w:rsidRPr="00000000">
        <w:rPr>
          <w:b w:val="1"/>
          <w:bCs w:val="1"/>
          <w:rtl w:val="0"/>
        </w:rPr>
        <w:t xml:space="preserve">1. Documentation on Regulatory Conditions or Restrictions Tied to Ownership Changes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FINTRAC Registration Details</w:t>
      </w:r>
      <w:r w:rsidDel="00000000" w:rsidR="00000000" w:rsidRPr="00000000">
        <w:rPr>
          <w:rtl w:val="0"/>
        </w:rPr>
        <w:t xml:space="preserve">:</w:t>
        <w:br w:type="textWrapping"/>
        <w:t xml:space="preserve">The company must remain registered with FINTRAC, as the registration is a prerequisite for operating as an MSB. Ownership changes may trigger scrutiny to ensure the new owners meet compliance and integrity standards.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Disclosures on New Owners</w:t>
      </w:r>
      <w:r w:rsidDel="00000000" w:rsidR="00000000" w:rsidRPr="00000000">
        <w:rPr>
          <w:rtl w:val="0"/>
        </w:rPr>
        <w:t xml:space="preserve">:</w:t>
        <w:br w:type="textWrapping"/>
        <w:t xml:space="preserve">FINTRAC often requires disclosure of the identity of new beneficial owners, directors, and officers to assess their fitness and propriety (e.g., no prior convictions related to financial crimes).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Post-Acquisition Continuity Requirements</w:t>
      </w:r>
      <w:r w:rsidDel="00000000" w:rsidR="00000000" w:rsidRPr="00000000">
        <w:rPr>
          <w:rtl w:val="0"/>
        </w:rPr>
        <w:t xml:space="preserve">:</w:t>
        <w:br w:type="textWrapping"/>
        <w:t xml:space="preserve">The MSB must ensure continuity in compliance programs, including retaining or updating key personnel such as the compliance officer.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License Non-Transferability</w:t>
      </w:r>
      <w:r w:rsidDel="00000000" w:rsidR="00000000" w:rsidRPr="00000000">
        <w:rPr>
          <w:rtl w:val="0"/>
        </w:rPr>
        <w:t xml:space="preserve">:</w:t>
        <w:br w:type="textWrapping"/>
        <w:t xml:space="preserve">MSB licenses are typically tied to the specific entity registered. If the acquisition involves transferring assets or creating a new entity, a fresh MSB registration may be required.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Filings Made or Required to Be Made to FINTRAC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Pre-Acquisition Notification</w:t>
      </w:r>
      <w:r w:rsidDel="00000000" w:rsidR="00000000" w:rsidRPr="00000000">
        <w:rPr>
          <w:rtl w:val="0"/>
        </w:rPr>
        <w:t xml:space="preserve">:</w:t>
        <w:br w:type="textWrapping"/>
        <w:t xml:space="preserve">If there is a change in control or beneficial ownership, FINTRAC must be notified in advance. The specific form is the </w:t>
      </w:r>
      <w:r w:rsidDel="00000000" w:rsidR="00000000" w:rsidRPr="00000000">
        <w:rPr>
          <w:i w:val="1"/>
          <w:iCs w:val="1"/>
          <w:rtl w:val="0"/>
        </w:rPr>
        <w:t xml:space="preserve">MSB Registration Update 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Post-Acquisition Updates</w:t>
      </w:r>
      <w:r w:rsidDel="00000000" w:rsidR="00000000" w:rsidRPr="00000000">
        <w:rPr>
          <w:rtl w:val="0"/>
        </w:rPr>
        <w:t xml:space="preserve">:</w:t>
        <w:br w:type="textWrapping"/>
        <w:t xml:space="preserve">After the acquisition, updates to the FINTRAC registry must include: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Changes in beneficial ownership.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Changes to directors, officers, or the compliance officer.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Revisions to the company’s compliance program if there are operational or structural changes.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Renewal of Registration</w:t>
      </w:r>
      <w:r w:rsidDel="00000000" w:rsidR="00000000" w:rsidRPr="00000000">
        <w:rPr>
          <w:rtl w:val="0"/>
        </w:rPr>
        <w:t xml:space="preserve">:</w:t>
        <w:br w:type="textWrapping"/>
        <w:t xml:space="preserve">Confirm the timeline for the MSB’s registration renewal and whether it needs adjustment due to the change in ownership.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ageBreakBefore w:val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ind w:left="0" w:firstLine="0"/>
      <w:jc w:val="left"/>
      <w:rPr>
        <w:rFonts w:ascii="Times New Roman" w:cs="Times New Roman" w:eastAsia="Times New Roman" w:hAnsi="Times New Roman"/>
        <w:color w:val="666666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color w:val="666666"/>
        <w:sz w:val="20"/>
        <w:szCs w:val="20"/>
      </w:rPr>
      <w:drawing>
        <wp:inline distB="114300" distT="114300" distL="114300" distR="114300">
          <wp:extent cx="1820862" cy="182086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0862" cy="18208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