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right"/>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Professional Corporation</w:t>
      </w:r>
    </w:p>
    <w:p w:rsidR="00000000" w:rsidDel="00000000" w:rsidP="00000000" w:rsidRDefault="00000000" w:rsidRPr="00000000" w14:paraId="00000002">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w:t>
      </w:r>
      <w:r w:rsidDel="00000000" w:rsidR="00000000" w:rsidRPr="00000000">
        <w:rPr>
          <w:rtl w:val="0"/>
        </w:rPr>
        <w:t xml:space="preserve">Contested SPA</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99n13lcs0ka" w:id="3"/>
      <w:bookmarkEnd w:id="3"/>
      <w:r w:rsidDel="00000000" w:rsidR="00000000" w:rsidRPr="00000000">
        <w:rPr>
          <w:rtl w:val="0"/>
        </w:rPr>
        <w:t xml:space="preserve">Version 1</w:t>
      </w:r>
    </w:p>
    <w:p w:rsidR="00000000" w:rsidDel="00000000" w:rsidP="00000000" w:rsidRDefault="00000000" w:rsidRPr="00000000" w14:paraId="0000000B">
      <w:pPr>
        <w:rPr/>
      </w:pPr>
      <w:r w:rsidDel="00000000" w:rsidR="00000000" w:rsidRPr="00000000">
        <w:rPr>
          <w:rtl w:val="0"/>
        </w:rPr>
        <w:t xml:space="preserve">Dear Mr White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Thank you for your letter of April 17, 2024 (“FW Letter”) which purports to be in response to the draft letter agreement from my client, Max Hill, to your client, Stefan Toic, dated March 11, 2024 (“March Letter Agreement”). </w:t>
      </w:r>
    </w:p>
    <w:p w:rsidR="00000000" w:rsidDel="00000000" w:rsidP="00000000" w:rsidRDefault="00000000" w:rsidRPr="00000000" w14:paraId="0000000E">
      <w:pPr>
        <w:jc w:val="both"/>
        <w:rPr/>
      </w:pPr>
      <w:r w:rsidDel="00000000" w:rsidR="00000000" w:rsidRPr="00000000">
        <w:rPr>
          <w:rtl w:val="0"/>
        </w:rPr>
        <w:t xml:space="preserve">As a preliminary matter, there has now been a period of more than a month between the March Letter Agreement and the FW Letter. My client is confused about why and how it has taken more than a month to receive a simple response to his letter. As you are no doubt aware, Rule 7.2-5 of the Law Society of Ontario’s </w:t>
      </w:r>
      <w:r w:rsidDel="00000000" w:rsidR="00000000" w:rsidRPr="00000000">
        <w:rPr>
          <w:i w:val="1"/>
          <w:iCs w:val="1"/>
          <w:rtl w:val="0"/>
        </w:rPr>
        <w:t xml:space="preserve">Rules of Professional Conduct</w:t>
      </w:r>
      <w:r w:rsidDel="00000000" w:rsidR="00000000" w:rsidRPr="00000000">
        <w:rPr>
          <w:rtl w:val="0"/>
        </w:rPr>
        <w:t xml:space="preserve"> sets out that a lawyer shall be punctual in fulfilling all commitments. </w:t>
      </w:r>
    </w:p>
    <w:p w:rsidR="00000000" w:rsidDel="00000000" w:rsidP="00000000" w:rsidRDefault="00000000" w:rsidRPr="00000000" w14:paraId="0000000F">
      <w:pPr>
        <w:jc w:val="both"/>
        <w:rPr/>
      </w:pPr>
      <w:r w:rsidDel="00000000" w:rsidR="00000000" w:rsidRPr="00000000">
        <w:rPr>
          <w:rtl w:val="0"/>
        </w:rPr>
        <w:t xml:space="preserve">Therefore, before proceeding any further, it is in the best interest of all parties to confirm whether there is an intention to act in good faith in order to close the transaction. Please let me know so that I can advise my client. </w:t>
      </w:r>
    </w:p>
    <w:p w:rsidR="00000000" w:rsidDel="00000000" w:rsidP="00000000" w:rsidRDefault="00000000" w:rsidRPr="00000000" w14:paraId="00000010">
      <w:pPr>
        <w:jc w:val="both"/>
        <w:rPr/>
      </w:pPr>
      <w:r w:rsidDel="00000000" w:rsidR="00000000" w:rsidRPr="00000000">
        <w:rPr>
          <w:rtl w:val="0"/>
        </w:rPr>
        <w:t xml:space="preserve">Furthermore, as you may or may not be aware, the March Letter Agreement was prepared at the request of Mr Hill based on Mr Toic’s email of March 4, 2024 (“Toic Offer”) titled “Offer” and reproduced in Appendix “A” in which Mr Toic offered to sell his Mascore shares to Mr Hill in exchange for the consideration described therein. The March Letter Agreement is not an “Agreement to Agree” but the issue is, in any event, moot because the March Letter Agreement and the offer contained therein has now expired. </w:t>
      </w:r>
    </w:p>
    <w:p w:rsidR="00000000" w:rsidDel="00000000" w:rsidP="00000000" w:rsidRDefault="00000000" w:rsidRPr="00000000" w14:paraId="00000011">
      <w:pPr>
        <w:jc w:val="both"/>
        <w:rPr/>
      </w:pPr>
      <w:r w:rsidDel="00000000" w:rsidR="00000000" w:rsidRPr="00000000">
        <w:rPr>
          <w:rtl w:val="0"/>
        </w:rPr>
        <w:t xml:space="preserve">In the FW Letter, you write that “I understand that your client has engaged in conduct which could attract liability for oppression under the OBCA [...]”. This accusation is scandalous. It is, also</w:t>
      </w:r>
    </w:p>
    <w:p w:rsidR="00000000" w:rsidDel="00000000" w:rsidP="00000000" w:rsidRDefault="00000000" w:rsidRPr="00000000" w14:paraId="00000012">
      <w:pPr>
        <w:numPr>
          <w:ilvl w:val="0"/>
          <w:numId w:val="2"/>
        </w:numPr>
        <w:spacing w:after="0" w:afterAutospacing="0"/>
        <w:ind w:left="1440" w:hanging="360"/>
        <w:jc w:val="both"/>
        <w:rPr>
          <w:u w:val="none"/>
        </w:rPr>
      </w:pPr>
      <w:r w:rsidDel="00000000" w:rsidR="00000000" w:rsidRPr="00000000">
        <w:rPr>
          <w:rtl w:val="0"/>
        </w:rPr>
        <w:t xml:space="preserve">first, to the best of my knowledge, completely without merit; </w:t>
      </w:r>
    </w:p>
    <w:p w:rsidR="00000000" w:rsidDel="00000000" w:rsidP="00000000" w:rsidRDefault="00000000" w:rsidRPr="00000000" w14:paraId="00000013">
      <w:pPr>
        <w:numPr>
          <w:ilvl w:val="0"/>
          <w:numId w:val="2"/>
        </w:numPr>
        <w:spacing w:before="0" w:beforeAutospacing="0"/>
        <w:ind w:left="1440" w:hanging="360"/>
        <w:jc w:val="both"/>
        <w:rPr>
          <w:u w:val="none"/>
        </w:rPr>
      </w:pPr>
      <w:r w:rsidDel="00000000" w:rsidR="00000000" w:rsidRPr="00000000">
        <w:rPr>
          <w:rtl w:val="0"/>
        </w:rPr>
        <w:t xml:space="preserve">second, completely unsupported by even a glimmer of evidence.</w:t>
      </w:r>
    </w:p>
    <w:p w:rsidR="00000000" w:rsidDel="00000000" w:rsidP="00000000" w:rsidRDefault="00000000" w:rsidRPr="00000000" w14:paraId="00000014">
      <w:pPr>
        <w:ind w:left="0" w:firstLine="0"/>
        <w:jc w:val="both"/>
        <w:rPr/>
      </w:pPr>
      <w:r w:rsidDel="00000000" w:rsidR="00000000" w:rsidRPr="00000000">
        <w:rPr>
          <w:rtl w:val="0"/>
        </w:rPr>
        <w:t xml:space="preserve">If either you or your client believe that you have evidence to support the accusation of “oppression” then you must bring it forward immediately. Without a clear statement of the matters in dispute between the parties, not to mention expensive, to arrive at a satisfactory share purchase agreement. </w:t>
      </w:r>
    </w:p>
    <w:p w:rsidR="00000000" w:rsidDel="00000000" w:rsidP="00000000" w:rsidRDefault="00000000" w:rsidRPr="00000000" w14:paraId="00000015">
      <w:pPr>
        <w:jc w:val="both"/>
        <w:rPr/>
      </w:pPr>
      <w:r w:rsidDel="00000000" w:rsidR="00000000" w:rsidRPr="00000000">
        <w:rPr>
          <w:rtl w:val="0"/>
        </w:rPr>
        <w:t xml:space="preserve">In sum, please advise as to i) whether your office and your client intend to act in good faith in order to close the transaction; ii) what, if any, evidence you or your client has concerning the accusation of “oppression”; and, iii) how long it will take for you to review an updated version of the letter agreement.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March 11 </w:t>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Appendix “A”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Hi Max,</w:t>
      </w:r>
    </w:p>
    <w:p w:rsidR="00000000" w:rsidDel="00000000" w:rsidP="00000000" w:rsidRDefault="00000000" w:rsidRPr="00000000" w14:paraId="00000020">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21">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I would like to present the following offer:</w:t>
      </w:r>
    </w:p>
    <w:p w:rsidR="00000000" w:rsidDel="00000000" w:rsidP="00000000" w:rsidRDefault="00000000" w:rsidRPr="00000000" w14:paraId="00000022">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23">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$2,000,000</w:t>
      </w:r>
    </w:p>
    <w:p w:rsidR="00000000" w:rsidDel="00000000" w:rsidP="00000000" w:rsidRDefault="00000000" w:rsidRPr="00000000" w14:paraId="00000024">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GMC 2500 at4</w:t>
      </w:r>
    </w:p>
    <w:p w:rsidR="00000000" w:rsidDel="00000000" w:rsidP="00000000" w:rsidRDefault="00000000" w:rsidRPr="00000000" w14:paraId="00000025">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Polaris ATV</w:t>
      </w:r>
    </w:p>
    <w:p w:rsidR="00000000" w:rsidDel="00000000" w:rsidP="00000000" w:rsidRDefault="00000000" w:rsidRPr="00000000" w14:paraId="00000026">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These are in place of Telehandler.</w:t>
      </w:r>
    </w:p>
    <w:p w:rsidR="00000000" w:rsidDel="00000000" w:rsidP="00000000" w:rsidRDefault="00000000" w:rsidRPr="00000000" w14:paraId="00000027">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28">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29">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Conditions:</w:t>
      </w:r>
    </w:p>
    <w:p w:rsidR="00000000" w:rsidDel="00000000" w:rsidP="00000000" w:rsidRDefault="00000000" w:rsidRPr="00000000" w14:paraId="0000002A">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Full and final release</w:t>
      </w:r>
    </w:p>
    <w:p w:rsidR="00000000" w:rsidDel="00000000" w:rsidP="00000000" w:rsidRDefault="00000000" w:rsidRPr="00000000" w14:paraId="0000002B">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We finalize the valuation</w:t>
      </w:r>
    </w:p>
    <w:p w:rsidR="00000000" w:rsidDel="00000000" w:rsidP="00000000" w:rsidRDefault="00000000" w:rsidRPr="00000000" w14:paraId="0000002C">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Your personal house is kept out of deal</w:t>
      </w:r>
      <w:r w:rsidDel="00000000" w:rsidR="00000000" w:rsidRPr="00000000">
        <w:rPr>
          <w:rFonts w:ascii="Calibri" w:cs="Calibri" w:eastAsia="Calibri" w:hAnsi="Calibri"/>
          <w:b w:val="1"/>
          <w:bCs w:val="1"/>
          <w:color w:val="222222"/>
          <w:u w:val="single"/>
          <w:rtl w:val="0"/>
        </w:rPr>
        <w:t xml:space="preserve"> IF</w:t>
      </w:r>
      <w:r w:rsidDel="00000000" w:rsidR="00000000" w:rsidRPr="00000000">
        <w:rPr>
          <w:rFonts w:ascii="Calibri" w:cs="Calibri" w:eastAsia="Calibri" w:hAnsi="Calibri"/>
          <w:color w:val="222222"/>
          <w:rtl w:val="0"/>
        </w:rPr>
        <w:t xml:space="preserve"> no financing is required from me</w:t>
      </w:r>
    </w:p>
    <w:p w:rsidR="00000000" w:rsidDel="00000000" w:rsidP="00000000" w:rsidRDefault="00000000" w:rsidRPr="00000000" w14:paraId="0000002D">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Sign non-compete</w:t>
      </w:r>
    </w:p>
    <w:p w:rsidR="00000000" w:rsidDel="00000000" w:rsidP="00000000" w:rsidRDefault="00000000" w:rsidRPr="00000000" w14:paraId="0000002E">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tab/>
        <w:t xml:space="preserve">Nancy Resigns</w:t>
      </w:r>
    </w:p>
    <w:p w:rsidR="00000000" w:rsidDel="00000000" w:rsidP="00000000" w:rsidRDefault="00000000" w:rsidRPr="00000000" w14:paraId="0000002F">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Will leave once we achieve a Legally Binding Agreement </w:t>
      </w:r>
    </w:p>
    <w:p w:rsidR="00000000" w:rsidDel="00000000" w:rsidP="00000000" w:rsidRDefault="00000000" w:rsidRPr="00000000" w14:paraId="00000030">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31">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Let’s get this done and put this situation behind us.</w:t>
      </w:r>
    </w:p>
    <w:p w:rsidR="00000000" w:rsidDel="00000000" w:rsidP="00000000" w:rsidRDefault="00000000" w:rsidRPr="00000000" w14:paraId="00000032">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33">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Stefan</w:t>
      </w:r>
    </w:p>
    <w:p w:rsidR="00000000" w:rsidDel="00000000" w:rsidP="00000000" w:rsidRDefault="00000000" w:rsidRPr="00000000" w14:paraId="00000034">
      <w:pPr>
        <w:spacing w:before="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4sb3m0qso8cf" w:id="4"/>
      <w:bookmarkEnd w:id="4"/>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pStyle w:val="Heading1"/>
        <w:rPr/>
      </w:pPr>
      <w:bookmarkStart w:colFirst="0" w:colLast="0" w:name="_kcv5hnahkdqb" w:id="5"/>
      <w:bookmarkEnd w:id="5"/>
      <w:r w:rsidDel="00000000" w:rsidR="00000000" w:rsidRPr="00000000">
        <w:rPr>
          <w:rtl w:val="0"/>
        </w:rPr>
        <w:t xml:space="preserve">Version 2</w:t>
      </w:r>
    </w:p>
    <w:p w:rsidR="00000000" w:rsidDel="00000000" w:rsidP="00000000" w:rsidRDefault="00000000" w:rsidRPr="00000000" w14:paraId="0000003F">
      <w:pPr>
        <w:rPr/>
      </w:pPr>
      <w:r w:rsidDel="00000000" w:rsidR="00000000" w:rsidRPr="00000000">
        <w:rPr>
          <w:rtl w:val="0"/>
        </w:rPr>
        <w:t xml:space="preserve">Dear Mr White</w:t>
      </w:r>
    </w:p>
    <w:p w:rsidR="00000000" w:rsidDel="00000000" w:rsidP="00000000" w:rsidRDefault="00000000" w:rsidRPr="00000000" w14:paraId="00000040">
      <w:pPr>
        <w:rPr/>
      </w:pPr>
      <w:r w:rsidDel="00000000" w:rsidR="00000000" w:rsidRPr="00000000">
        <w:rPr>
          <w:rtl w:val="0"/>
        </w:rPr>
        <w:t xml:space="preserve">Thank you for your letter of April 17, 2024 (“FW Letter”) which purports to be in response to the draft letter agreement from my client, Max Hill, to your client, Stefan Toic, dated March 11, 2024 (“March Letter Agreement”). </w:t>
      </w:r>
    </w:p>
    <w:p w:rsidR="00000000" w:rsidDel="00000000" w:rsidP="00000000" w:rsidRDefault="00000000" w:rsidRPr="00000000" w14:paraId="00000041">
      <w:pPr>
        <w:jc w:val="both"/>
        <w:rPr/>
      </w:pPr>
      <w:r w:rsidDel="00000000" w:rsidR="00000000" w:rsidRPr="00000000">
        <w:rPr>
          <w:rtl w:val="0"/>
        </w:rPr>
        <w:t xml:space="preserve">My client is confused about why and how it has taken more than a month to receive a simple response to his letter. As you are no doubt aware, Rule 7.2-5 of the Law Society of Ontario’s </w:t>
      </w:r>
      <w:r w:rsidDel="00000000" w:rsidR="00000000" w:rsidRPr="00000000">
        <w:rPr>
          <w:i w:val="1"/>
          <w:iCs w:val="1"/>
          <w:rtl w:val="0"/>
        </w:rPr>
        <w:t xml:space="preserve">Rules of Professional Conduct</w:t>
      </w:r>
      <w:r w:rsidDel="00000000" w:rsidR="00000000" w:rsidRPr="00000000">
        <w:rPr>
          <w:rtl w:val="0"/>
        </w:rPr>
        <w:t xml:space="preserve"> sets out that a lawyer shall be punctual in fulfilling all commitments. Please confirm</w:t>
      </w:r>
    </w:p>
    <w:p w:rsidR="00000000" w:rsidDel="00000000" w:rsidP="00000000" w:rsidRDefault="00000000" w:rsidRPr="00000000" w14:paraId="00000042">
      <w:pPr>
        <w:ind w:left="720" w:firstLine="0"/>
        <w:jc w:val="both"/>
        <w:rPr/>
      </w:pPr>
      <w:r w:rsidDel="00000000" w:rsidR="00000000" w:rsidRPr="00000000">
        <w:rPr>
          <w:rtl w:val="0"/>
        </w:rPr>
        <w:t xml:space="preserve">i) whether your office and your client will act in good faith in order to close the transaction; </w:t>
      </w:r>
    </w:p>
    <w:p w:rsidR="00000000" w:rsidDel="00000000" w:rsidP="00000000" w:rsidRDefault="00000000" w:rsidRPr="00000000" w14:paraId="00000043">
      <w:pPr>
        <w:ind w:firstLine="720"/>
        <w:jc w:val="both"/>
        <w:rPr/>
      </w:pPr>
      <w:r w:rsidDel="00000000" w:rsidR="00000000" w:rsidRPr="00000000">
        <w:rPr>
          <w:rtl w:val="0"/>
        </w:rPr>
        <w:t xml:space="preserve">ii) how long it will take for you to review an updated version of the letter agreement.</w:t>
      </w:r>
    </w:p>
    <w:p w:rsidR="00000000" w:rsidDel="00000000" w:rsidP="00000000" w:rsidRDefault="00000000" w:rsidRPr="00000000" w14:paraId="00000044">
      <w:pPr>
        <w:jc w:val="both"/>
        <w:rPr/>
      </w:pPr>
      <w:r w:rsidDel="00000000" w:rsidR="00000000" w:rsidRPr="00000000">
        <w:rPr>
          <w:rtl w:val="0"/>
        </w:rPr>
        <w:t xml:space="preserve">As you may or may not be aware, the March Letter Agreement was prepared at the request of Mr Hill based on Mr Toic’s email of March 4, 2024 (“Toic Offer”) titled “Offer”, and reproduced in Appendix “A”, in which Mr Toic offered to sell his Mascore shares to Mr Hill in exchange for the consideration described therein. Although the March Letter Agreement is not an “Agreement to Agree”, the issue is purely academic because the March Letter Agreement and the offer contained therein has now expired. Upon receiving confirmation that your office and your client will act in good faith in order to close the transaction, my client is prepared to have my office re-issue the letter agreement. </w:t>
      </w:r>
    </w:p>
    <w:p w:rsidR="00000000" w:rsidDel="00000000" w:rsidP="00000000" w:rsidRDefault="00000000" w:rsidRPr="00000000" w14:paraId="00000045">
      <w:pPr>
        <w:jc w:val="both"/>
        <w:rPr/>
      </w:pPr>
      <w:r w:rsidDel="00000000" w:rsidR="00000000" w:rsidRPr="00000000">
        <w:rPr>
          <w:rtl w:val="0"/>
        </w:rPr>
        <w:t xml:space="preserve">In the FW Letter, you write that “I understand that your client has engaged in conduct which could attract liability for oppression under the OBCA [...]”. This accusation is scandalous. It is, also: first, to the best of my knowledge, completely without merit; second, completely unsupported by even a glimmer of evidence. If either you or your client believe that you have evidence to support the accusation of “oppression” then you must bring it forward immediately. </w:t>
      </w:r>
    </w:p>
    <w:p w:rsidR="00000000" w:rsidDel="00000000" w:rsidP="00000000" w:rsidRDefault="00000000" w:rsidRPr="00000000" w14:paraId="00000046">
      <w:pPr>
        <w:jc w:val="both"/>
        <w:rPr/>
      </w:pPr>
      <w:r w:rsidDel="00000000" w:rsidR="00000000" w:rsidRPr="00000000">
        <w:rPr>
          <w:rtl w:val="0"/>
        </w:rPr>
        <w:t xml:space="preserve">In sum, please advise as to i) whether your office and your client will act in good faith in order to close the transaction; ii) how long it will take for you to review an updated version of the letter agreement]; iii) what, if any, evidence you or your client has concerning the scandalous accusation of “oppression”.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March 11 </w:t>
      </w:r>
    </w:p>
    <w:p w:rsidR="00000000" w:rsidDel="00000000" w:rsidP="00000000" w:rsidRDefault="00000000" w:rsidRPr="00000000" w14:paraId="0000004C">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pStyle w:val="Heading2"/>
        <w:pBdr>
          <w:top w:color="auto" w:space="0" w:sz="0" w:val="none"/>
          <w:left w:color="auto" w:space="0" w:sz="0" w:val="none"/>
          <w:bottom w:color="auto" w:space="7" w:sz="0" w:val="none"/>
          <w:right w:color="auto" w:space="0" w:sz="0" w:val="none"/>
        </w:pBdr>
        <w:spacing w:before="0" w:line="203.77358490566039" w:lineRule="auto"/>
        <w:jc w:val="both"/>
        <w:rPr>
          <w:rFonts w:ascii="Nunito" w:cs="Nunito" w:eastAsia="Nunito" w:hAnsi="Nunito"/>
          <w:color w:val="131313"/>
          <w:sz w:val="53"/>
          <w:szCs w:val="53"/>
        </w:rPr>
      </w:pPr>
      <w:bookmarkStart w:colFirst="0" w:colLast="0" w:name="_jv0tqs3sq03b" w:id="6"/>
      <w:bookmarkEnd w:id="6"/>
      <w:r w:rsidDel="00000000" w:rsidR="00000000" w:rsidRPr="00000000">
        <w:rPr>
          <w:rFonts w:ascii="Nunito" w:cs="Nunito" w:eastAsia="Nunito" w:hAnsi="Nunito"/>
          <w:color w:val="131313"/>
          <w:sz w:val="53"/>
          <w:szCs w:val="53"/>
          <w:rtl w:val="0"/>
        </w:rPr>
        <w:t xml:space="preserve">Representative Work</w:t>
      </w:r>
    </w:p>
    <w:p w:rsidR="00000000" w:rsidDel="00000000" w:rsidP="00000000" w:rsidRDefault="00000000" w:rsidRPr="00000000" w14:paraId="00000051">
      <w:pPr>
        <w:pBdr>
          <w:top w:color="auto" w:space="0" w:sz="0" w:val="none"/>
          <w:left w:color="auto" w:space="0" w:sz="0" w:val="none"/>
          <w:bottom w:color="auto" w:space="11" w:sz="0" w:val="none"/>
          <w:right w:color="auto" w:space="0" w:sz="0" w:val="none"/>
        </w:pBdr>
        <w:spacing w:before="0" w:lineRule="auto"/>
        <w:jc w:val="both"/>
        <w:rPr>
          <w:rFonts w:ascii="Nunito" w:cs="Nunito" w:eastAsia="Nunito" w:hAnsi="Nunito"/>
          <w:color w:val="585858"/>
          <w:sz w:val="24"/>
          <w:szCs w:val="24"/>
        </w:rPr>
      </w:pPr>
      <w:r w:rsidDel="00000000" w:rsidR="00000000" w:rsidRPr="00000000">
        <w:rPr>
          <w:rFonts w:ascii="Nunito" w:cs="Nunito" w:eastAsia="Nunito" w:hAnsi="Nunito"/>
          <w:color w:val="585858"/>
          <w:sz w:val="24"/>
          <w:szCs w:val="24"/>
          <w:rtl w:val="0"/>
        </w:rPr>
        <w:t xml:space="preserve">Matthew’s clients range from solopreneurs growing their first business to executives structuring complex commercial transactions and investors closing strategic investments. For example, some of his work includes:</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before="0" w:line="600" w:lineRule="auto"/>
        <w:ind w:left="720" w:hanging="360"/>
      </w:pPr>
      <w:r w:rsidDel="00000000" w:rsidR="00000000" w:rsidRPr="00000000">
        <w:rPr>
          <w:rFonts w:ascii="Nunito" w:cs="Nunito" w:eastAsia="Nunito" w:hAnsi="Nunito"/>
          <w:color w:val="585858"/>
          <w:sz w:val="24"/>
          <w:szCs w:val="24"/>
          <w:rtl w:val="0"/>
        </w:rPr>
        <w:t xml:space="preserve">Advising a publicly traded blockchain company on international contract matters.</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before="0" w:line="600" w:lineRule="auto"/>
        <w:ind w:left="720" w:hanging="360"/>
      </w:pPr>
      <w:r w:rsidDel="00000000" w:rsidR="00000000" w:rsidRPr="00000000">
        <w:rPr>
          <w:rFonts w:ascii="Nunito" w:cs="Nunito" w:eastAsia="Nunito" w:hAnsi="Nunito"/>
          <w:color w:val="585858"/>
          <w:sz w:val="24"/>
          <w:szCs w:val="24"/>
          <w:rtl w:val="0"/>
        </w:rPr>
        <w:t xml:space="preserve">Assisting a land developer with a multi-year land-swap deal with one of the Canada’s largest forestry companies.</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before="0" w:line="600" w:lineRule="auto"/>
        <w:ind w:left="720" w:hanging="360"/>
      </w:pPr>
      <w:r w:rsidDel="00000000" w:rsidR="00000000" w:rsidRPr="00000000">
        <w:rPr>
          <w:rFonts w:ascii="Nunito" w:cs="Nunito" w:eastAsia="Nunito" w:hAnsi="Nunito"/>
          <w:color w:val="585858"/>
          <w:sz w:val="24"/>
          <w:szCs w:val="24"/>
          <w:rtl w:val="0"/>
        </w:rPr>
        <w:t xml:space="preserve">Helping a software company close a significant investment from multiple foreign investors.</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before="0" w:line="600" w:lineRule="auto"/>
        <w:ind w:left="720" w:hanging="360"/>
      </w:pPr>
      <w:r w:rsidDel="00000000" w:rsidR="00000000" w:rsidRPr="00000000">
        <w:rPr>
          <w:rFonts w:ascii="Nunito" w:cs="Nunito" w:eastAsia="Nunito" w:hAnsi="Nunito"/>
          <w:color w:val="585858"/>
          <w:sz w:val="24"/>
          <w:szCs w:val="24"/>
          <w:rtl w:val="0"/>
        </w:rPr>
        <w:t xml:space="preserve"> </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before="0" w:line="600" w:lineRule="auto"/>
        <w:ind w:left="720" w:hanging="360"/>
      </w:pPr>
      <w:r w:rsidDel="00000000" w:rsidR="00000000" w:rsidRPr="00000000">
        <w:rPr>
          <w:rFonts w:ascii="Nunito" w:cs="Nunito" w:eastAsia="Nunito" w:hAnsi="Nunito"/>
          <w:color w:val="585858"/>
          <w:sz w:val="24"/>
          <w:szCs w:val="24"/>
          <w:rtl w:val="0"/>
        </w:rPr>
        <w:t xml:space="preserve">Successfully settling multiple trademark infringement disputes from small-to-medium business against large multinational corporations.</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before="0" w:line="600" w:lineRule="auto"/>
        <w:ind w:left="720" w:hanging="360"/>
      </w:pPr>
      <w:r w:rsidDel="00000000" w:rsidR="00000000" w:rsidRPr="00000000">
        <w:rPr>
          <w:rFonts w:ascii="Nunito" w:cs="Nunito" w:eastAsia="Nunito" w:hAnsi="Nunito"/>
          <w:color w:val="585858"/>
          <w:sz w:val="24"/>
          <w:szCs w:val="24"/>
          <w:rtl w:val="0"/>
        </w:rPr>
        <w:t xml:space="preserve">Facilitating the administration of a complex and hotly contested estate/probate matter.</w:t>
      </w:r>
    </w:p>
    <w:p w:rsidR="00000000" w:rsidDel="00000000" w:rsidP="00000000" w:rsidRDefault="00000000" w:rsidRPr="00000000" w14:paraId="00000058">
      <w:pPr>
        <w:rPr/>
      </w:pPr>
      <w:r w:rsidDel="00000000" w:rsidR="00000000" w:rsidRPr="00000000">
        <w:rPr>
          <w:rtl w:val="0"/>
        </w:rPr>
        <w:t xml:space="preserve">Matthew</w:t>
      </w:r>
      <w:r w:rsidDel="00000000" w:rsidR="00000000" w:rsidRPr="00000000">
        <w:rPr>
          <w:rtl w:val="0"/>
        </w:rPr>
        <w:t xml:space="preserve"> has appeared before the Ontario Superior Court of Justice, Ontario Small Claims Court and various administrative tribunals.</w:t>
      </w:r>
    </w:p>
    <w:p w:rsidR="00000000" w:rsidDel="00000000" w:rsidP="00000000" w:rsidRDefault="00000000" w:rsidRPr="00000000" w14:paraId="00000059">
      <w:pPr>
        <w:jc w:val="both"/>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5040" w:firstLine="0"/>
      <w:rPr/>
    </w:pPr>
    <w:r w:rsidDel="00000000" w:rsidR="00000000" w:rsidRPr="00000000">
      <w:rPr/>
      <w:drawing>
        <wp:inline distB="114300" distT="114300" distL="114300" distR="114300">
          <wp:extent cx="2881313" cy="106664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81313" cy="10666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color w:val="58585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