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left="7650" w:firstLine="0"/>
        <w:jc w:val="right"/>
        <w:rPr>
          <w:color w:val="666666"/>
          <w:sz w:val="20"/>
          <w:szCs w:val="20"/>
        </w:rPr>
      </w:pPr>
      <w:r w:rsidDel="00000000" w:rsidR="00000000" w:rsidRPr="00000000">
        <w:rPr>
          <w:rtl w:val="0"/>
        </w:rPr>
      </w:r>
    </w:p>
    <w:p w:rsidR="00000000" w:rsidDel="00000000" w:rsidP="00000000" w:rsidRDefault="00000000" w:rsidRPr="00000000" w14:paraId="00000002">
      <w:pPr>
        <w:spacing w:before="0" w:line="240" w:lineRule="auto"/>
        <w:jc w:val="right"/>
        <w:rPr>
          <w:color w:val="666666"/>
          <w:sz w:val="20"/>
          <w:szCs w:val="20"/>
        </w:rPr>
      </w:pPr>
      <w:r w:rsidDel="00000000" w:rsidR="00000000" w:rsidRPr="00000000">
        <w:rPr>
          <w:rtl w:val="0"/>
        </w:rPr>
      </w:r>
    </w:p>
    <w:p w:rsidR="00000000" w:rsidDel="00000000" w:rsidP="00000000" w:rsidRDefault="00000000" w:rsidRPr="00000000" w14:paraId="00000003">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4">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5">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6">
      <w:pPr>
        <w:spacing w:before="0" w:line="240" w:lineRule="auto"/>
        <w:rPr>
          <w:color w:val="000000"/>
        </w:rPr>
      </w:pPr>
      <w:r w:rsidDel="00000000" w:rsidR="00000000" w:rsidRPr="00000000">
        <w:rPr>
          <w:color w:val="666666"/>
          <w:sz w:val="20"/>
          <w:szCs w:val="20"/>
          <w:rtl w:val="0"/>
        </w:rPr>
        <w:t xml:space="preserve">LawCo ℅ Matthew Levine</w:t>
      </w:r>
      <w:r w:rsidDel="00000000" w:rsidR="00000000" w:rsidRPr="00000000">
        <w:rPr>
          <w:rtl w:val="0"/>
        </w:rPr>
      </w:r>
    </w:p>
    <w:p w:rsidR="00000000" w:rsidDel="00000000" w:rsidP="00000000" w:rsidRDefault="00000000" w:rsidRPr="00000000" w14:paraId="00000007">
      <w:pPr>
        <w:pStyle w:val="Title"/>
        <w:rPr/>
      </w:pPr>
      <w:bookmarkStart w:colFirst="0" w:colLast="0" w:name="_ajkbc8tn9asw" w:id="0"/>
      <w:bookmarkEnd w:id="0"/>
      <w:r w:rsidDel="00000000" w:rsidR="00000000" w:rsidRPr="00000000">
        <w:rPr>
          <w:rtl w:val="0"/>
        </w:rPr>
        <w:t xml:space="preserve">Legal Practice - Transactions - Diligence - </w:t>
      </w:r>
      <w:r w:rsidDel="00000000" w:rsidR="00000000" w:rsidRPr="00000000">
        <w:rPr>
          <w:rtl w:val="0"/>
        </w:rPr>
      </w:r>
    </w:p>
    <w:p w:rsidR="00000000" w:rsidDel="00000000" w:rsidP="00000000" w:rsidRDefault="00000000" w:rsidRPr="00000000" w14:paraId="00000008">
      <w:pPr>
        <w:pStyle w:val="Subtitle"/>
        <w:pageBreakBefore w:val="0"/>
        <w:rPr>
          <w:color w:val="000000"/>
        </w:rPr>
      </w:pPr>
      <w:bookmarkStart w:colFirst="0" w:colLast="0" w:name="_oml91wnavqup" w:id="1"/>
      <w:bookmarkEnd w:id="1"/>
      <w:r w:rsidDel="00000000" w:rsidR="00000000" w:rsidRPr="00000000">
        <w:rPr>
          <w:color w:val="000000"/>
          <w:sz w:val="20"/>
          <w:szCs w:val="20"/>
          <w:rtl w:val="0"/>
        </w:rPr>
        <w:t xml:space="preserve">1</w:t>
      </w:r>
      <w:r w:rsidDel="00000000" w:rsidR="00000000" w:rsidRPr="00000000">
        <w:rPr>
          <w:color w:val="000000"/>
          <w:sz w:val="20"/>
          <w:szCs w:val="20"/>
          <w:vertAlign w:val="superscript"/>
          <w:rtl w:val="0"/>
        </w:rPr>
        <w:t xml:space="preserve">st</w:t>
      </w:r>
      <w:r w:rsidDel="00000000" w:rsidR="00000000" w:rsidRPr="00000000">
        <w:rPr>
          <w:color w:val="000000"/>
          <w:sz w:val="20"/>
          <w:szCs w:val="20"/>
          <w:rtl w:val="0"/>
        </w:rPr>
        <w:t xml:space="preserve"> July 2024</w:t>
      </w:r>
      <w:r w:rsidDel="00000000" w:rsidR="00000000" w:rsidRPr="00000000">
        <w:rPr>
          <w:rtl w:val="0"/>
        </w:rPr>
      </w:r>
    </w:p>
    <w:p w:rsidR="00000000" w:rsidDel="00000000" w:rsidP="00000000" w:rsidRDefault="00000000" w:rsidRPr="00000000" w14:paraId="00000009">
      <w:pPr>
        <w:pStyle w:val="Heading1"/>
        <w:rPr/>
      </w:pPr>
      <w:bookmarkStart w:colFirst="0" w:colLast="0" w:name="_ycibfvd606q5" w:id="2"/>
      <w:bookmarkEnd w:id="2"/>
      <w:r w:rsidDel="00000000" w:rsidR="00000000" w:rsidRPr="00000000">
        <w:rPr>
          <w:rtl w:val="0"/>
        </w:rPr>
        <w:t xml:space="preserve">1. Conflicting Interests and Claims are Endemic, but should be kept out of the limelight in a corporate transaction where it is important that the business people perceive a win-win deal</w:t>
      </w:r>
    </w:p>
    <w:p w:rsidR="00000000" w:rsidDel="00000000" w:rsidP="00000000" w:rsidRDefault="00000000" w:rsidRPr="00000000" w14:paraId="0000000A">
      <w:pPr>
        <w:spacing w:before="400" w:line="331.2" w:lineRule="auto"/>
        <w:ind w:left="0" w:firstLine="0"/>
        <w:rPr/>
      </w:pPr>
      <w:r w:rsidDel="00000000" w:rsidR="00000000" w:rsidRPr="00000000">
        <w:rPr>
          <w:rtl w:val="0"/>
        </w:rPr>
      </w:r>
    </w:p>
    <w:p w:rsidR="00000000" w:rsidDel="00000000" w:rsidP="00000000" w:rsidRDefault="00000000" w:rsidRPr="00000000" w14:paraId="0000000B">
      <w:pPr>
        <w:spacing w:before="400" w:line="331.2" w:lineRule="auto"/>
        <w:ind w:left="0" w:firstLine="0"/>
        <w:rPr/>
      </w:pPr>
      <w:r w:rsidDel="00000000" w:rsidR="00000000" w:rsidRPr="00000000">
        <w:rPr>
          <w:rtl w:val="0"/>
        </w:rPr>
        <w:t xml:space="preserve">Upon execution of the LOI, we will move formally into diligence </w:t>
      </w:r>
    </w:p>
    <w:p w:rsidR="00000000" w:rsidDel="00000000" w:rsidP="00000000" w:rsidRDefault="00000000" w:rsidRPr="00000000" w14:paraId="0000000C">
      <w:pPr>
        <w:spacing w:before="400" w:line="331.2" w:lineRule="auto"/>
        <w:ind w:left="0" w:firstLine="0"/>
        <w:rPr/>
      </w:pPr>
      <w:r w:rsidDel="00000000" w:rsidR="00000000" w:rsidRPr="00000000">
        <w:rPr>
          <w:rtl w:val="0"/>
        </w:rPr>
      </w:r>
    </w:p>
    <w:p w:rsidR="00000000" w:rsidDel="00000000" w:rsidP="00000000" w:rsidRDefault="00000000" w:rsidRPr="00000000" w14:paraId="0000000D">
      <w:pPr>
        <w:pStyle w:val="Heading3"/>
        <w:spacing w:before="280" w:line="331.2" w:lineRule="auto"/>
        <w:ind w:left="0" w:firstLine="0"/>
        <w:rPr>
          <w:rFonts w:ascii="Times New Roman" w:cs="Times New Roman" w:eastAsia="Times New Roman" w:hAnsi="Times New Roman"/>
          <w:b w:val="1"/>
          <w:bCs w:val="1"/>
          <w:color w:val="000000"/>
          <w:sz w:val="26"/>
          <w:szCs w:val="26"/>
        </w:rPr>
      </w:pPr>
      <w:bookmarkStart w:colFirst="0" w:colLast="0" w:name="_xz3fhl3ta5sl" w:id="3"/>
      <w:bookmarkEnd w:id="3"/>
      <w:r w:rsidDel="00000000" w:rsidR="00000000" w:rsidRPr="00000000">
        <w:rPr>
          <w:rFonts w:ascii="Times New Roman" w:cs="Times New Roman" w:eastAsia="Times New Roman" w:hAnsi="Times New Roman"/>
          <w:b w:val="1"/>
          <w:bCs w:val="1"/>
          <w:color w:val="000000"/>
          <w:sz w:val="26"/>
          <w:szCs w:val="26"/>
          <w:rtl w:val="0"/>
        </w:rPr>
        <w:t xml:space="preserve">Pre-Step : Identifying Key Business Aspects</w:t>
      </w:r>
    </w:p>
    <w:p w:rsidR="00000000" w:rsidDel="00000000" w:rsidP="00000000" w:rsidRDefault="00000000" w:rsidRPr="00000000" w14:paraId="0000000E">
      <w:pPr>
        <w:spacing w:after="240" w:before="240" w:line="331.2" w:lineRule="auto"/>
        <w:rPr/>
      </w:pPr>
      <w:r w:rsidDel="00000000" w:rsidR="00000000" w:rsidRPr="00000000">
        <w:rPr>
          <w:rtl w:val="0"/>
        </w:rPr>
        <w:t xml:space="preserve">Even during</w:t>
      </w:r>
      <w:r w:rsidDel="00000000" w:rsidR="00000000" w:rsidRPr="00000000">
        <w:rPr>
          <w:rtl w:val="0"/>
        </w:rPr>
        <w:t xml:space="preserve"> the LOI, it is advisable to determine which aspects of the business are most valued and relevant. This will help us decide where to focus our efforts in gathering more detailed information from the sellers.</w:t>
      </w:r>
    </w:p>
    <w:p w:rsidR="00000000" w:rsidDel="00000000" w:rsidP="00000000" w:rsidRDefault="00000000" w:rsidRPr="00000000" w14:paraId="0000000F">
      <w:pPr>
        <w:pStyle w:val="Heading3"/>
        <w:spacing w:before="280" w:line="331.2" w:lineRule="auto"/>
        <w:ind w:left="0" w:firstLine="0"/>
        <w:rPr>
          <w:rFonts w:ascii="Times New Roman" w:cs="Times New Roman" w:eastAsia="Times New Roman" w:hAnsi="Times New Roman"/>
          <w:b w:val="1"/>
          <w:bCs w:val="1"/>
          <w:color w:val="000000"/>
          <w:sz w:val="26"/>
          <w:szCs w:val="26"/>
        </w:rPr>
      </w:pPr>
      <w:bookmarkStart w:colFirst="0" w:colLast="0" w:name="_x681lro9ja8o" w:id="4"/>
      <w:bookmarkEnd w:id="4"/>
      <w:r w:rsidDel="00000000" w:rsidR="00000000" w:rsidRPr="00000000">
        <w:rPr>
          <w:rFonts w:ascii="Times New Roman" w:cs="Times New Roman" w:eastAsia="Times New Roman" w:hAnsi="Times New Roman"/>
          <w:b w:val="1"/>
          <w:bCs w:val="1"/>
          <w:color w:val="000000"/>
          <w:sz w:val="26"/>
          <w:szCs w:val="26"/>
          <w:rtl w:val="0"/>
        </w:rPr>
        <w:t xml:space="preserve">Step 1: Diligence Request</w:t>
      </w:r>
    </w:p>
    <w:p w:rsidR="00000000" w:rsidDel="00000000" w:rsidP="00000000" w:rsidRDefault="00000000" w:rsidRPr="00000000" w14:paraId="00000010">
      <w:pPr>
        <w:spacing w:after="240" w:before="240" w:line="331.2" w:lineRule="auto"/>
        <w:rPr/>
      </w:pPr>
      <w:r w:rsidDel="00000000" w:rsidR="00000000" w:rsidRPr="00000000">
        <w:rPr>
          <w:rtl w:val="0"/>
        </w:rPr>
        <w:t xml:space="preserve">The purchaser will require the seller to disclose various categories of information pertinent to the target company and the transaction, such as:</w:t>
      </w:r>
    </w:p>
    <w:p w:rsidR="00000000" w:rsidDel="00000000" w:rsidP="00000000" w:rsidRDefault="00000000" w:rsidRPr="00000000" w14:paraId="00000011">
      <w:pPr>
        <w:numPr>
          <w:ilvl w:val="0"/>
          <w:numId w:val="1"/>
        </w:numPr>
        <w:spacing w:after="0" w:afterAutospacing="0" w:before="240" w:line="331.2" w:lineRule="auto"/>
        <w:ind w:left="720" w:hanging="360"/>
      </w:pPr>
      <w:r w:rsidDel="00000000" w:rsidR="00000000" w:rsidRPr="00000000">
        <w:rPr>
          <w:rtl w:val="0"/>
        </w:rPr>
        <w:t xml:space="preserve">Corporate</w:t>
      </w:r>
    </w:p>
    <w:p w:rsidR="00000000" w:rsidDel="00000000" w:rsidP="00000000" w:rsidRDefault="00000000" w:rsidRPr="00000000" w14:paraId="00000012">
      <w:pPr>
        <w:numPr>
          <w:ilvl w:val="0"/>
          <w:numId w:val="1"/>
        </w:numPr>
        <w:spacing w:after="0" w:afterAutospacing="0" w:before="0" w:beforeAutospacing="0" w:line="331.2" w:lineRule="auto"/>
        <w:ind w:left="720" w:hanging="360"/>
      </w:pPr>
      <w:r w:rsidDel="00000000" w:rsidR="00000000" w:rsidRPr="00000000">
        <w:rPr>
          <w:rtl w:val="0"/>
        </w:rPr>
        <w:t xml:space="preserve">Finance</w:t>
      </w:r>
    </w:p>
    <w:p w:rsidR="00000000" w:rsidDel="00000000" w:rsidP="00000000" w:rsidRDefault="00000000" w:rsidRPr="00000000" w14:paraId="00000013">
      <w:pPr>
        <w:numPr>
          <w:ilvl w:val="0"/>
          <w:numId w:val="1"/>
        </w:numPr>
        <w:spacing w:after="0" w:afterAutospacing="0" w:before="0" w:beforeAutospacing="0" w:line="331.2" w:lineRule="auto"/>
        <w:ind w:left="720" w:hanging="360"/>
      </w:pPr>
      <w:r w:rsidDel="00000000" w:rsidR="00000000" w:rsidRPr="00000000">
        <w:rPr>
          <w:rtl w:val="0"/>
        </w:rPr>
        <w:t xml:space="preserve">Sales and Marketing</w:t>
      </w:r>
    </w:p>
    <w:p w:rsidR="00000000" w:rsidDel="00000000" w:rsidP="00000000" w:rsidRDefault="00000000" w:rsidRPr="00000000" w14:paraId="00000014">
      <w:pPr>
        <w:numPr>
          <w:ilvl w:val="0"/>
          <w:numId w:val="1"/>
        </w:numPr>
        <w:spacing w:after="0" w:afterAutospacing="0" w:before="0" w:beforeAutospacing="0" w:line="331.2" w:lineRule="auto"/>
        <w:ind w:left="720" w:hanging="360"/>
      </w:pPr>
      <w:r w:rsidDel="00000000" w:rsidR="00000000" w:rsidRPr="00000000">
        <w:rPr>
          <w:rtl w:val="0"/>
        </w:rPr>
        <w:t xml:space="preserve">Human Resources</w:t>
      </w:r>
    </w:p>
    <w:p w:rsidR="00000000" w:rsidDel="00000000" w:rsidP="00000000" w:rsidRDefault="00000000" w:rsidRPr="00000000" w14:paraId="00000015">
      <w:pPr>
        <w:numPr>
          <w:ilvl w:val="0"/>
          <w:numId w:val="1"/>
        </w:numPr>
        <w:spacing w:after="0" w:afterAutospacing="0" w:before="0" w:beforeAutospacing="0" w:line="331.2" w:lineRule="auto"/>
        <w:ind w:left="720" w:hanging="360"/>
      </w:pPr>
      <w:r w:rsidDel="00000000" w:rsidR="00000000" w:rsidRPr="00000000">
        <w:rPr>
          <w:rtl w:val="0"/>
        </w:rPr>
        <w:t xml:space="preserve">Intellectual Property, including industrial design and manufacturing know-how</w:t>
      </w:r>
    </w:p>
    <w:p w:rsidR="00000000" w:rsidDel="00000000" w:rsidP="00000000" w:rsidRDefault="00000000" w:rsidRPr="00000000" w14:paraId="00000016">
      <w:pPr>
        <w:numPr>
          <w:ilvl w:val="0"/>
          <w:numId w:val="1"/>
        </w:numPr>
        <w:spacing w:after="0" w:afterAutospacing="0" w:before="0" w:beforeAutospacing="0" w:line="331.2" w:lineRule="auto"/>
        <w:ind w:left="720" w:hanging="360"/>
      </w:pPr>
      <w:r w:rsidDel="00000000" w:rsidR="00000000" w:rsidRPr="00000000">
        <w:rPr>
          <w:rtl w:val="0"/>
        </w:rPr>
        <w:t xml:space="preserve">Operations</w:t>
      </w:r>
    </w:p>
    <w:p w:rsidR="00000000" w:rsidDel="00000000" w:rsidP="00000000" w:rsidRDefault="00000000" w:rsidRPr="00000000" w14:paraId="00000017">
      <w:pPr>
        <w:numPr>
          <w:ilvl w:val="0"/>
          <w:numId w:val="1"/>
        </w:numPr>
        <w:spacing w:after="0" w:afterAutospacing="0" w:before="0" w:beforeAutospacing="0" w:line="331.2" w:lineRule="auto"/>
        <w:ind w:left="720" w:hanging="360"/>
      </w:pPr>
      <w:r w:rsidDel="00000000" w:rsidR="00000000" w:rsidRPr="00000000">
        <w:rPr>
          <w:rtl w:val="0"/>
        </w:rPr>
        <w:t xml:space="preserve">Customer Care</w:t>
      </w:r>
    </w:p>
    <w:p w:rsidR="00000000" w:rsidDel="00000000" w:rsidP="00000000" w:rsidRDefault="00000000" w:rsidRPr="00000000" w14:paraId="00000018">
      <w:pPr>
        <w:numPr>
          <w:ilvl w:val="0"/>
          <w:numId w:val="1"/>
        </w:numPr>
        <w:spacing w:after="0" w:afterAutospacing="0" w:before="0" w:beforeAutospacing="0" w:line="331.2" w:lineRule="auto"/>
        <w:ind w:left="720" w:hanging="360"/>
      </w:pPr>
      <w:r w:rsidDel="00000000" w:rsidR="00000000" w:rsidRPr="00000000">
        <w:rPr>
          <w:rtl w:val="0"/>
        </w:rPr>
        <w:t xml:space="preserve">Key Personnel</w:t>
      </w:r>
    </w:p>
    <w:p w:rsidR="00000000" w:rsidDel="00000000" w:rsidP="00000000" w:rsidRDefault="00000000" w:rsidRPr="00000000" w14:paraId="00000019">
      <w:pPr>
        <w:numPr>
          <w:ilvl w:val="0"/>
          <w:numId w:val="1"/>
        </w:numPr>
        <w:spacing w:after="0" w:afterAutospacing="0" w:before="0" w:beforeAutospacing="0" w:line="331.2" w:lineRule="auto"/>
        <w:ind w:left="720" w:hanging="360"/>
      </w:pPr>
      <w:r w:rsidDel="00000000" w:rsidR="00000000" w:rsidRPr="00000000">
        <w:rPr>
          <w:rtl w:val="0"/>
        </w:rPr>
        <w:t xml:space="preserve">Litigation</w:t>
      </w:r>
    </w:p>
    <w:p w:rsidR="00000000" w:rsidDel="00000000" w:rsidP="00000000" w:rsidRDefault="00000000" w:rsidRPr="00000000" w14:paraId="0000001A">
      <w:pPr>
        <w:numPr>
          <w:ilvl w:val="0"/>
          <w:numId w:val="1"/>
        </w:numPr>
        <w:spacing w:after="240" w:before="0" w:beforeAutospacing="0" w:line="331.2" w:lineRule="auto"/>
        <w:ind w:left="720" w:hanging="360"/>
      </w:pPr>
      <w:r w:rsidDel="00000000" w:rsidR="00000000" w:rsidRPr="00000000">
        <w:rPr>
          <w:rtl w:val="0"/>
        </w:rPr>
        <w:t xml:space="preserve">Other relevant areas</w:t>
      </w:r>
    </w:p>
    <w:p w:rsidR="00000000" w:rsidDel="00000000" w:rsidP="00000000" w:rsidRDefault="00000000" w:rsidRPr="00000000" w14:paraId="0000001B">
      <w:pPr>
        <w:pStyle w:val="Heading3"/>
        <w:spacing w:before="280" w:line="331.2" w:lineRule="auto"/>
        <w:ind w:left="0" w:firstLine="0"/>
        <w:rPr>
          <w:rFonts w:ascii="Times New Roman" w:cs="Times New Roman" w:eastAsia="Times New Roman" w:hAnsi="Times New Roman"/>
          <w:b w:val="1"/>
          <w:bCs w:val="1"/>
          <w:color w:val="000000"/>
          <w:sz w:val="26"/>
          <w:szCs w:val="26"/>
        </w:rPr>
      </w:pPr>
      <w:bookmarkStart w:colFirst="0" w:colLast="0" w:name="_km62tclbn2k4" w:id="5"/>
      <w:bookmarkEnd w:id="5"/>
      <w:r w:rsidDel="00000000" w:rsidR="00000000" w:rsidRPr="00000000">
        <w:rPr>
          <w:rFonts w:ascii="Times New Roman" w:cs="Times New Roman" w:eastAsia="Times New Roman" w:hAnsi="Times New Roman"/>
          <w:b w:val="1"/>
          <w:bCs w:val="1"/>
          <w:color w:val="000000"/>
          <w:sz w:val="26"/>
          <w:szCs w:val="26"/>
          <w:rtl w:val="0"/>
        </w:rPr>
        <w:t xml:space="preserve">Step 3: Gathering Information</w:t>
      </w:r>
    </w:p>
    <w:p w:rsidR="00000000" w:rsidDel="00000000" w:rsidP="00000000" w:rsidRDefault="00000000" w:rsidRPr="00000000" w14:paraId="0000001C">
      <w:pPr>
        <w:spacing w:after="240" w:before="240" w:line="331.2" w:lineRule="auto"/>
        <w:rPr/>
      </w:pPr>
      <w:r w:rsidDel="00000000" w:rsidR="00000000" w:rsidRPr="00000000">
        <w:rPr>
          <w:rtl w:val="0"/>
        </w:rPr>
        <w:t xml:space="preserve">There are multiple methods for gathering information, including:</w:t>
      </w:r>
    </w:p>
    <w:p w:rsidR="00000000" w:rsidDel="00000000" w:rsidP="00000000" w:rsidRDefault="00000000" w:rsidRPr="00000000" w14:paraId="0000001D">
      <w:pPr>
        <w:numPr>
          <w:ilvl w:val="0"/>
          <w:numId w:val="2"/>
        </w:numPr>
        <w:spacing w:after="0" w:afterAutospacing="0" w:before="240" w:line="331.2" w:lineRule="auto"/>
        <w:ind w:left="720" w:hanging="360"/>
      </w:pPr>
      <w:r w:rsidDel="00000000" w:rsidR="00000000" w:rsidRPr="00000000">
        <w:rPr>
          <w:rtl w:val="0"/>
        </w:rPr>
        <w:t xml:space="preserve">Verbal (e.g., in-person meetings, phone calls)</w:t>
      </w:r>
    </w:p>
    <w:p w:rsidR="00000000" w:rsidDel="00000000" w:rsidP="00000000" w:rsidRDefault="00000000" w:rsidRPr="00000000" w14:paraId="0000001E">
      <w:pPr>
        <w:numPr>
          <w:ilvl w:val="0"/>
          <w:numId w:val="2"/>
        </w:numPr>
        <w:spacing w:after="0" w:afterAutospacing="0" w:before="0" w:beforeAutospacing="0" w:line="331.2" w:lineRule="auto"/>
        <w:ind w:left="720" w:hanging="360"/>
      </w:pPr>
      <w:r w:rsidDel="00000000" w:rsidR="00000000" w:rsidRPr="00000000">
        <w:rPr>
          <w:rtl w:val="0"/>
        </w:rPr>
        <w:t xml:space="preserve">Documentary (e.g., contracts, records)</w:t>
      </w:r>
    </w:p>
    <w:p w:rsidR="00000000" w:rsidDel="00000000" w:rsidP="00000000" w:rsidRDefault="00000000" w:rsidRPr="00000000" w14:paraId="0000001F">
      <w:pPr>
        <w:numPr>
          <w:ilvl w:val="0"/>
          <w:numId w:val="2"/>
        </w:numPr>
        <w:spacing w:after="240" w:before="0" w:beforeAutospacing="0" w:line="331.2" w:lineRule="auto"/>
        <w:ind w:left="720" w:hanging="360"/>
      </w:pPr>
      <w:r w:rsidDel="00000000" w:rsidR="00000000" w:rsidRPr="00000000">
        <w:rPr>
          <w:rtl w:val="0"/>
        </w:rPr>
        <w:t xml:space="preserve">Electronic (e.g., searches, requests, data room)</w:t>
      </w:r>
    </w:p>
    <w:p w:rsidR="00000000" w:rsidDel="00000000" w:rsidP="00000000" w:rsidRDefault="00000000" w:rsidRPr="00000000" w14:paraId="00000020">
      <w:pPr>
        <w:spacing w:after="240" w:before="240" w:line="331.2" w:lineRule="auto"/>
        <w:rPr/>
      </w:pPr>
      <w:r w:rsidDel="00000000" w:rsidR="00000000" w:rsidRPr="00000000">
        <w:rPr>
          <w:rtl w:val="0"/>
        </w:rPr>
        <w:t xml:space="preserve">Typically, the purchaser will provide a checklist of documents they wish to review or access. Consider a two-stage approach: preliminary, less sensitive information obtained first, followed by more detailed information in a second round. Establish a clear process for how information will be obtained, sent, accessed, logged, and reviewed.</w:t>
      </w:r>
    </w:p>
    <w:p w:rsidR="00000000" w:rsidDel="00000000" w:rsidP="00000000" w:rsidRDefault="00000000" w:rsidRPr="00000000" w14:paraId="00000021">
      <w:pPr>
        <w:pStyle w:val="Heading3"/>
        <w:spacing w:before="280" w:line="331.2" w:lineRule="auto"/>
        <w:ind w:left="0" w:firstLine="0"/>
        <w:rPr>
          <w:rFonts w:ascii="Times New Roman" w:cs="Times New Roman" w:eastAsia="Times New Roman" w:hAnsi="Times New Roman"/>
          <w:b w:val="1"/>
          <w:bCs w:val="1"/>
          <w:color w:val="000000"/>
          <w:sz w:val="26"/>
          <w:szCs w:val="26"/>
        </w:rPr>
      </w:pPr>
      <w:bookmarkStart w:colFirst="0" w:colLast="0" w:name="_t5ctqldpmnsi" w:id="6"/>
      <w:bookmarkEnd w:id="6"/>
      <w:r w:rsidDel="00000000" w:rsidR="00000000" w:rsidRPr="00000000">
        <w:rPr>
          <w:rFonts w:ascii="Times New Roman" w:cs="Times New Roman" w:eastAsia="Times New Roman" w:hAnsi="Times New Roman"/>
          <w:b w:val="1"/>
          <w:bCs w:val="1"/>
          <w:color w:val="000000"/>
          <w:sz w:val="26"/>
          <w:szCs w:val="26"/>
          <w:rtl w:val="0"/>
        </w:rPr>
        <w:t xml:space="preserve">Step 4: Analyzing Data</w:t>
      </w:r>
    </w:p>
    <w:p w:rsidR="00000000" w:rsidDel="00000000" w:rsidP="00000000" w:rsidRDefault="00000000" w:rsidRPr="00000000" w14:paraId="00000022">
      <w:pPr>
        <w:spacing w:after="240" w:before="240" w:line="331.2" w:lineRule="auto"/>
        <w:rPr/>
      </w:pPr>
      <w:r w:rsidDel="00000000" w:rsidR="00000000" w:rsidRPr="00000000">
        <w:rPr>
          <w:rtl w:val="0"/>
        </w:rPr>
        <w:t xml:space="preserve">Agree upon a method for analyzing the data, such as a shared spreadsheet, a diligence memo by reviewers or advisors, and a list of exceptions or concerns. Determine the “next steps” once each stage of due diligence is complete.</w:t>
      </w:r>
    </w:p>
    <w:p w:rsidR="00000000" w:rsidDel="00000000" w:rsidP="00000000" w:rsidRDefault="00000000" w:rsidRPr="00000000" w14:paraId="00000023">
      <w:pPr>
        <w:spacing w:after="240" w:before="240" w:line="331.2" w:lineRule="auto"/>
        <w:rPr/>
      </w:pPr>
      <w:r w:rsidDel="00000000" w:rsidR="00000000" w:rsidRPr="00000000">
        <w:rPr>
          <w:rtl w:val="0"/>
        </w:rPr>
        <w:t xml:space="preserve">The diligence process often involves continuous review, follow-up, feedback/reporting, and integration. Integration means that diligence findings should be considered and addressed in the purchaser’s evaluation of the transaction. For example, additional protections might be requested in the purchase agreement to mitigate identified risks.</w:t>
      </w:r>
    </w:p>
    <w:p w:rsidR="00000000" w:rsidDel="00000000" w:rsidP="00000000" w:rsidRDefault="00000000" w:rsidRPr="00000000" w14:paraId="00000024">
      <w:pPr>
        <w:spacing w:before="400" w:line="331.2" w:lineRule="auto"/>
        <w:ind w:left="0" w:firstLine="0"/>
        <w:rPr/>
      </w:pPr>
      <w:r w:rsidDel="00000000" w:rsidR="00000000" w:rsidRPr="00000000">
        <w:rPr>
          <w:rtl w:val="0"/>
        </w:rPr>
      </w:r>
    </w:p>
    <w:sectPr>
      <w:headerReference r:id="rId6" w:type="default"/>
      <w:headerReference r:id="rId7" w:type="first"/>
      <w:footerReference r:id="rId8"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40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368300</wp:posOffset>
          </wp:positionV>
          <wp:extent cx="952500" cy="9525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before="0" w:line="276"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jc w:val="both"/>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spacing w:after="80" w:before="0" w:line="240" w:lineRule="auto"/>
      <w:ind w:left="720" w:hanging="360"/>
    </w:pPr>
    <w:rPr>
      <w:rFonts w:ascii="Palatino" w:cs="Palatino" w:eastAsia="Palatino" w:hAnsi="Palatino"/>
      <w:color w:val="08122b"/>
      <w:sz w:val="28"/>
      <w:szCs w:val="28"/>
    </w:rPr>
  </w:style>
  <w:style w:type="paragraph" w:styleId="Heading4">
    <w:name w:val="heading 4"/>
    <w:basedOn w:val="Normal"/>
    <w:next w:val="Normal"/>
    <w:pPr>
      <w:keepNext w:val="1"/>
      <w:keepLines w:val="1"/>
      <w:pageBreakBefore w:val="0"/>
    </w:pPr>
    <w:rPr>
      <w:color w:val="3c78d8"/>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pPr>
    <w:rPr>
      <w:rFonts w:ascii="Montserrat Light" w:cs="Montserrat Light" w:eastAsia="Montserrat Light" w:hAnsi="Montserrat Light"/>
      <w:color w:val="1d4771"/>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