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after="0" w:before="0" w:line="240" w:lineRule="auto"/>
        <w:jc w:val="both"/>
        <w:rPr>
          <w:rFonts w:ascii="Times New Roman" w:cs="Times New Roman" w:eastAsia="Times New Roman" w:hAnsi="Times New Roman"/>
          <w:b w:val="1"/>
          <w:bCs w:val="1"/>
          <w:color w:val="08122b"/>
          <w:sz w:val="22"/>
          <w:szCs w:val="22"/>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sz w:val="22"/>
          <w:szCs w:val="22"/>
          <w:rtl w:val="0"/>
        </w:rPr>
        <w:t xml:space="preserve">Matthew AJ Levine </w:t>
      </w:r>
    </w:p>
    <w:p w:rsidR="00000000" w:rsidDel="00000000" w:rsidP="00000000" w:rsidRDefault="00000000" w:rsidRPr="00000000" w14:paraId="00000002">
      <w:pPr>
        <w:pStyle w:val="Heading4"/>
        <w:spacing w:after="0" w:before="0" w:line="240" w:lineRule="auto"/>
        <w:jc w:val="both"/>
        <w:rPr>
          <w:rFonts w:ascii="Times New Roman" w:cs="Times New Roman" w:eastAsia="Times New Roman" w:hAnsi="Times New Roman"/>
          <w:b w:val="1"/>
          <w:bCs w:val="1"/>
          <w:color w:val="08122b"/>
          <w:sz w:val="22"/>
          <w:szCs w:val="22"/>
        </w:rPr>
      </w:pPr>
      <w:bookmarkStart w:colFirst="0" w:colLast="0" w:name="_paiv2oq3e778" w:id="1"/>
      <w:bookmarkEnd w:id="1"/>
      <w:r w:rsidDel="00000000" w:rsidR="00000000" w:rsidRPr="00000000">
        <w:rPr>
          <w:rFonts w:ascii="Times New Roman" w:cs="Times New Roman" w:eastAsia="Times New Roman" w:hAnsi="Times New Roman"/>
          <w:b w:val="1"/>
          <w:bCs w:val="1"/>
          <w:color w:val="08122b"/>
          <w:sz w:val="22"/>
          <w:szCs w:val="22"/>
          <w:rtl w:val="0"/>
        </w:rPr>
        <w:t xml:space="preserve">Professional Corporation</w:t>
      </w:r>
    </w:p>
    <w:p w:rsidR="00000000" w:rsidDel="00000000" w:rsidP="00000000" w:rsidRDefault="00000000" w:rsidRPr="00000000" w14:paraId="00000003">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4">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5">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6">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7">
      <w:pPr>
        <w:spacing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8">
      <w:pPr>
        <w:spacing w:line="240" w:lineRule="auto"/>
        <w:jc w:val="both"/>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09">
      <w:pPr>
        <w:pStyle w:val="Title"/>
        <w:jc w:val="both"/>
        <w:rPr/>
      </w:pPr>
      <w:bookmarkStart w:colFirst="0" w:colLast="0" w:name="_x1qg1c30zmid" w:id="2"/>
      <w:bookmarkEnd w:id="2"/>
      <w:r w:rsidDel="00000000" w:rsidR="00000000" w:rsidRPr="00000000">
        <w:rPr>
          <w:rtl w:val="0"/>
        </w:rPr>
        <w:t xml:space="preserve">Corporate Transaction(s) - SPA - Payment Provision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bookmarkStart w:colFirst="0" w:colLast="0" w:name="_3uhcqldtj6dr" w:id="3"/>
      <w:bookmarkEnd w:id="3"/>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Payment provisions in share purchase agreements (SPAs) for small, privately-owned companies are crucial to ensuring a clear and agreed-upon transfer of funds in exchange for shares. Here’s an overview of some key aspects typically included in these provisions: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co8vvwckckkb" w:id="4"/>
      <w:bookmarkEnd w:id="4"/>
      <w:r w:rsidDel="00000000" w:rsidR="00000000" w:rsidRPr="00000000">
        <w:rPr>
          <w:b w:val="1"/>
          <w:bCs w:val="1"/>
          <w:color w:val="000000"/>
          <w:sz w:val="26"/>
          <w:szCs w:val="26"/>
          <w:rtl w:val="0"/>
        </w:rPr>
        <w:t xml:space="preserve">1. Purchase Price</w:t>
      </w:r>
    </w:p>
    <w:p w:rsidR="00000000" w:rsidDel="00000000" w:rsidP="00000000" w:rsidRDefault="00000000" w:rsidRPr="00000000" w14:paraId="00000010">
      <w:pPr>
        <w:spacing w:after="240" w:before="240" w:lineRule="auto"/>
        <w:rPr/>
      </w:pPr>
      <w:r w:rsidDel="00000000" w:rsidR="00000000" w:rsidRPr="00000000">
        <w:rPr>
          <w:rtl w:val="0"/>
        </w:rPr>
        <w:t xml:space="preserve">The SPA should clearly state the total purchase price for the shares being acquired. This amount may be a fixed sum or subject to adjustment based on various factors such as the company’s financial performance or closing date adjustments.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z0e7jsz5zmw4" w:id="5"/>
      <w:bookmarkEnd w:id="5"/>
      <w:r w:rsidDel="00000000" w:rsidR="00000000" w:rsidRPr="00000000">
        <w:rPr>
          <w:b w:val="1"/>
          <w:bCs w:val="1"/>
          <w:color w:val="000000"/>
          <w:sz w:val="26"/>
          <w:szCs w:val="26"/>
          <w:rtl w:val="0"/>
        </w:rPr>
        <w:t xml:space="preserve">2. Payment Structure</w:t>
      </w:r>
    </w:p>
    <w:p w:rsidR="00000000" w:rsidDel="00000000" w:rsidP="00000000" w:rsidRDefault="00000000" w:rsidRPr="00000000" w14:paraId="00000012">
      <w:pPr>
        <w:spacing w:after="240" w:before="240" w:lineRule="auto"/>
        <w:rPr/>
      </w:pPr>
      <w:r w:rsidDel="00000000" w:rsidR="00000000" w:rsidRPr="00000000">
        <w:rPr>
          <w:rtl w:val="0"/>
        </w:rPr>
        <w:t xml:space="preserve">The agreement should outline the payment structure. </w:t>
      </w:r>
      <w:r w:rsidDel="00000000" w:rsidR="00000000" w:rsidRPr="00000000">
        <w:rPr>
          <w:rtl w:val="0"/>
        </w:rPr>
        <w:t xml:space="preserve">See </w:t>
      </w:r>
      <w:hyperlink r:id="rId6">
        <w:r w:rsidDel="00000000" w:rsidR="00000000" w:rsidRPr="00000000">
          <w:rPr>
            <w:color w:val="0000ee"/>
            <w:u w:val="single"/>
            <w:rtl w:val="0"/>
          </w:rPr>
          <w:t xml:space="preserve">Corporate Transaction - SPA - Payment Structuring</w:t>
        </w:r>
      </w:hyperlink>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n39cwvmn4qvx" w:id="6"/>
      <w:bookmarkEnd w:id="6"/>
      <w:r w:rsidDel="00000000" w:rsidR="00000000" w:rsidRPr="00000000">
        <w:rPr>
          <w:b w:val="1"/>
          <w:bCs w:val="1"/>
          <w:color w:val="000000"/>
          <w:sz w:val="26"/>
          <w:szCs w:val="26"/>
          <w:rtl w:val="0"/>
        </w:rPr>
        <w:t xml:space="preserve">3. Deposit</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ef84fnrjpcdf" w:id="7"/>
      <w:bookmarkEnd w:id="7"/>
      <w:r w:rsidDel="00000000" w:rsidR="00000000" w:rsidRPr="00000000">
        <w:rPr>
          <w:rtl w:val="0"/>
        </w:rPr>
      </w:r>
    </w:p>
    <w:p w:rsidR="00000000" w:rsidDel="00000000" w:rsidP="00000000" w:rsidRDefault="00000000" w:rsidRPr="00000000" w14:paraId="00000016">
      <w:pPr>
        <w:keepNext w:val="0"/>
        <w:keepLines w:val="0"/>
        <w:spacing w:before="280" w:lineRule="auto"/>
        <w:rPr/>
      </w:pPr>
      <w:r w:rsidDel="00000000" w:rsidR="00000000" w:rsidRPr="00000000">
        <w:rPr>
          <w:rtl w:val="0"/>
        </w:rPr>
        <w:t xml:space="preserve">See [    ]</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ejef7t1lq43z" w:id="8"/>
      <w:bookmarkEnd w:id="8"/>
      <w:r w:rsidDel="00000000" w:rsidR="00000000" w:rsidRPr="00000000">
        <w:rPr>
          <w:b w:val="1"/>
          <w:bCs w:val="1"/>
          <w:color w:val="000000"/>
          <w:sz w:val="26"/>
          <w:szCs w:val="26"/>
          <w:rtl w:val="0"/>
        </w:rPr>
        <w:t xml:space="preserve">4. Escrow and Holdback</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To protect against potential liabilities or breaches of representation, a portion of the purchase price may be held in escrow or as a holdback. This amount can be used to cover indemnification claims or other adjustments.</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9s66pav5gyus" w:id="9"/>
      <w:bookmarkEnd w:id="9"/>
      <w:r w:rsidDel="00000000" w:rsidR="00000000" w:rsidRPr="00000000">
        <w:rPr>
          <w:b w:val="1"/>
          <w:bCs w:val="1"/>
          <w:color w:val="000000"/>
          <w:sz w:val="26"/>
          <w:szCs w:val="26"/>
          <w:rtl w:val="0"/>
        </w:rPr>
        <w:t xml:space="preserve">5.  Adjustment Mechanisms</w:t>
      </w:r>
    </w:p>
    <w:p w:rsidR="00000000" w:rsidDel="00000000" w:rsidP="00000000" w:rsidRDefault="00000000" w:rsidRPr="00000000" w14:paraId="0000001B">
      <w:pPr>
        <w:spacing w:after="240" w:before="240" w:lineRule="auto"/>
        <w:rPr/>
      </w:pPr>
      <w:r w:rsidDel="00000000" w:rsidR="00000000" w:rsidRPr="00000000">
        <w:rPr>
          <w:rtl w:val="0"/>
        </w:rPr>
        <w:t xml:space="preserve">Provisions for purchase price adjustments based on the final determination of working capital, debt, or other financial metrics as of the closing date are often included. These adjustments ensure the purchase price reflects the company’s actual financial position at closing.</w:t>
      </w:r>
    </w:p>
    <w:p w:rsidR="00000000" w:rsidDel="00000000" w:rsidP="00000000" w:rsidRDefault="00000000" w:rsidRPr="00000000" w14:paraId="0000001C">
      <w:pPr>
        <w:spacing w:after="240" w:before="240" w:lineRule="auto"/>
        <w:rPr/>
      </w:pPr>
      <w:r w:rsidDel="00000000" w:rsidR="00000000" w:rsidRPr="00000000">
        <w:rPr>
          <w:rtl w:val="0"/>
        </w:rPr>
        <w:t xml:space="preserve"> </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cqykipc0hb7e" w:id="10"/>
      <w:bookmarkEnd w:id="10"/>
      <w:r w:rsidDel="00000000" w:rsidR="00000000" w:rsidRPr="00000000">
        <w:rPr>
          <w:b w:val="1"/>
          <w:bCs w:val="1"/>
          <w:color w:val="000000"/>
          <w:sz w:val="26"/>
          <w:szCs w:val="26"/>
          <w:rtl w:val="0"/>
        </w:rPr>
        <w:t xml:space="preserve">Conclusion</w:t>
      </w:r>
    </w:p>
    <w:p w:rsidR="00000000" w:rsidDel="00000000" w:rsidP="00000000" w:rsidRDefault="00000000" w:rsidRPr="00000000" w14:paraId="0000001F">
      <w:pPr>
        <w:spacing w:after="240" w:before="240" w:lineRule="auto"/>
        <w:rPr/>
      </w:pPr>
      <w:r w:rsidDel="00000000" w:rsidR="00000000" w:rsidRPr="00000000">
        <w:rPr>
          <w:rtl w:val="0"/>
        </w:rPr>
        <w:t xml:space="preserve">Payment provisions in SPAs for small, privately-owned companies require careful drafting to balance the interests of both the buyer and the seller, ensuring a smooth transaction and protecting against potential disputes.</w:t>
      </w:r>
    </w:p>
    <w:p w:rsidR="00000000" w:rsidDel="00000000" w:rsidP="00000000" w:rsidRDefault="00000000" w:rsidRPr="00000000" w14:paraId="00000020">
      <w:pPr>
        <w:rPr/>
      </w:pPr>
      <w:r w:rsidDel="00000000" w:rsidR="00000000" w:rsidRPr="00000000">
        <w:rPr>
          <w:rtl w:val="0"/>
        </w:rPr>
      </w:r>
    </w:p>
    <w:sectPr>
      <w:headerReference r:id="rId7" w:type="default"/>
      <w:headerReference r:id="rId8" w:type="firs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pageBreakBefore w:val="0"/>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spacing w:before="200" w:line="312" w:lineRule="auto"/>
      <w:ind w:left="5760" w:hanging="5760"/>
      <w:rPr/>
    </w:pPr>
    <w:r w:rsidDel="00000000" w:rsidR="00000000" w:rsidRPr="00000000">
      <w:rPr>
        <w:rFonts w:ascii="Proxima Nova" w:cs="Proxima Nova" w:eastAsia="Proxima Nova" w:hAnsi="Proxima Nova"/>
        <w:color w:val="353744"/>
      </w:rPr>
      <w:drawing>
        <wp:inline distB="114300" distT="114300" distL="114300" distR="114300">
          <wp:extent cx="1714302" cy="925513"/>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714302" cy="9255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320" w:line="240" w:lineRule="auto"/>
      <w:jc w:val="both"/>
    </w:pPr>
    <w:rPr>
      <w:rFonts w:ascii="Proxima Nova" w:cs="Proxima Nova" w:eastAsia="Proxima Nova" w:hAnsi="Proxima Nova"/>
      <w:color w:val="353744"/>
      <w:sz w:val="72"/>
      <w:szCs w:val="7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ocs.google.com/document/d/1yU4_J0jaT9XrgYBKB3nsH61CBB81VwQ9FgNG_Ha6KPc/edit"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