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Transaction - Amalgamation </w:t>
      </w:r>
    </w:p>
    <w:p w:rsidR="00000000" w:rsidDel="00000000" w:rsidP="00000000" w:rsidRDefault="00000000" w:rsidRPr="00000000" w14:paraId="0000000A">
      <w:pPr>
        <w:pStyle w:val="Subtitle"/>
        <w:rPr>
          <w:b w:val="1"/>
          <w:bCs w:val="1"/>
          <w:sz w:val="28"/>
          <w:szCs w:val="28"/>
        </w:rPr>
      </w:pPr>
      <w:bookmarkStart w:colFirst="0" w:colLast="0" w:name="_uma5oi9xgh2"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yalf4p2wq309" w:id="4"/>
      <w:bookmarkEnd w:id="4"/>
      <w:r w:rsidDel="00000000" w:rsidR="00000000" w:rsidRPr="00000000">
        <w:rPr>
          <w:rtl w:val="0"/>
        </w:rPr>
        <w:t xml:space="preserve">Types of Amalgamations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ddpwk768sklf" w:id="5"/>
      <w:bookmarkEnd w:id="5"/>
      <w:r w:rsidDel="00000000" w:rsidR="00000000" w:rsidRPr="00000000">
        <w:rPr>
          <w:rtl w:val="0"/>
        </w:rPr>
        <w:t xml:space="preserve">1.</w:t>
        <w:tab/>
        <w:t xml:space="preserve">Vertical </w:t>
      </w:r>
    </w:p>
    <w:p w:rsidR="00000000" w:rsidDel="00000000" w:rsidP="00000000" w:rsidRDefault="00000000" w:rsidRPr="00000000" w14:paraId="0000000F">
      <w:pPr>
        <w:pStyle w:val="Heading2"/>
        <w:rPr/>
      </w:pPr>
      <w:bookmarkStart w:colFirst="0" w:colLast="0" w:name="_al9hkjabtl5o" w:id="6"/>
      <w:bookmarkEnd w:id="6"/>
      <w:r w:rsidDel="00000000" w:rsidR="00000000" w:rsidRPr="00000000">
        <w:rPr>
          <w:rtl w:val="0"/>
        </w:rPr>
        <w:t xml:space="preserve">2. </w:t>
        <w:tab/>
        <w:t xml:space="preserve">Horizontal </w:t>
      </w:r>
    </w:p>
    <w:p w:rsidR="00000000" w:rsidDel="00000000" w:rsidP="00000000" w:rsidRDefault="00000000" w:rsidRPr="00000000" w14:paraId="00000010">
      <w:pPr>
        <w:pStyle w:val="Heading2"/>
        <w:rPr/>
      </w:pPr>
      <w:bookmarkStart w:colFirst="0" w:colLast="0" w:name="_k7gi76dl695z" w:id="7"/>
      <w:bookmarkEnd w:id="7"/>
      <w:r w:rsidDel="00000000" w:rsidR="00000000" w:rsidRPr="00000000">
        <w:rPr>
          <w:rtl w:val="0"/>
        </w:rPr>
        <w:t xml:space="preserve">3.</w:t>
        <w:tab/>
        <w:t xml:space="preserve">Triangle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wiw2e84c63ox" w:id="8"/>
      <w:bookmarkEnd w:id="8"/>
      <w:r w:rsidDel="00000000" w:rsidR="00000000" w:rsidRPr="00000000">
        <w:rPr>
          <w:rtl w:val="0"/>
        </w:rPr>
        <w:t xml:space="preserve">Long Form Amalgamation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before="0" w:line="408" w:lineRule="auto"/>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Using </w:t>
      </w:r>
      <w:r w:rsidDel="00000000" w:rsidR="00000000" w:rsidRPr="00000000">
        <w:rPr>
          <w:rFonts w:ascii="Verdana" w:cs="Verdana" w:eastAsia="Verdana" w:hAnsi="Verdana"/>
          <w:b w:val="1"/>
          <w:bCs w:val="1"/>
          <w:color w:val="212121"/>
          <w:sz w:val="18"/>
          <w:szCs w:val="18"/>
          <w:shd w:fill="fff099" w:val="clear"/>
          <w:rtl w:val="0"/>
        </w:rPr>
        <w:t xml:space="preserve">Amalgamations</w:t>
      </w:r>
      <w:r w:rsidDel="00000000" w:rsidR="00000000" w:rsidRPr="00000000">
        <w:rPr>
          <w:rFonts w:ascii="Verdana" w:cs="Verdana" w:eastAsia="Verdana" w:hAnsi="Verdana"/>
          <w:b w:val="1"/>
          <w:bCs w:val="1"/>
          <w:color w:val="212121"/>
          <w:sz w:val="18"/>
          <w:szCs w:val="18"/>
          <w:rtl w:val="0"/>
        </w:rPr>
        <w:t xml:space="preserve"> in M&amp;A Transactions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the Supreme Court of Canada stated in </w:t>
      </w:r>
      <w:r w:rsidDel="00000000" w:rsidR="00000000" w:rsidRPr="00000000">
        <w:rPr>
          <w:rFonts w:ascii="Verdana" w:cs="Verdana" w:eastAsia="Verdana" w:hAnsi="Verdana"/>
          <w:i w:val="1"/>
          <w:iCs w:val="1"/>
          <w:color w:val="212121"/>
          <w:sz w:val="18"/>
          <w:szCs w:val="18"/>
          <w:rtl w:val="0"/>
        </w:rPr>
        <w:t xml:space="preserve">R. v. Black and Decker Manufacturing Co</w:t>
      </w:r>
      <w:r w:rsidDel="00000000" w:rsidR="00000000" w:rsidRPr="00000000">
        <w:rPr>
          <w:rFonts w:ascii="Verdana" w:cs="Verdana" w:eastAsia="Verdana" w:hAnsi="Verdana"/>
          <w:color w:val="212121"/>
          <w:sz w:val="18"/>
          <w:szCs w:val="18"/>
          <w:rtl w:val="0"/>
        </w:rPr>
        <w:t xml:space="preserve">, </w:t>
      </w:r>
      <w:hyperlink r:id="rId6">
        <w:r w:rsidDel="00000000" w:rsidR="00000000" w:rsidRPr="00000000">
          <w:rPr>
            <w:rFonts w:ascii="Verdana" w:cs="Verdana" w:eastAsia="Verdana" w:hAnsi="Verdana"/>
            <w:color w:val="006ebb"/>
            <w:sz w:val="18"/>
            <w:szCs w:val="18"/>
            <w:u w:val="single"/>
            <w:rtl w:val="0"/>
          </w:rPr>
          <w:t xml:space="preserve">[1974] S.C.J. No. 56</w:t>
        </w:r>
      </w:hyperlink>
      <w:r w:rsidDel="00000000" w:rsidR="00000000" w:rsidRPr="00000000">
        <w:rPr>
          <w:rFonts w:ascii="Verdana" w:cs="Verdana" w:eastAsia="Verdana" w:hAnsi="Verdana"/>
          <w:color w:val="212121"/>
          <w:sz w:val="18"/>
          <w:szCs w:val="18"/>
          <w:rtl w:val="0"/>
        </w:rPr>
        <w:t xml:space="preserve"> — a case concerning the criminal liability of an amalgamated entity for offences committed prior to the </w:t>
      </w:r>
      <w:r w:rsidDel="00000000" w:rsidR="00000000" w:rsidRPr="00000000">
        <w:rPr>
          <w:rFonts w:ascii="Verdana" w:cs="Verdana" w:eastAsia="Verdana" w:hAnsi="Verdana"/>
          <w:b w:val="1"/>
          <w:bCs w:val="1"/>
          <w:color w:val="212121"/>
          <w:sz w:val="18"/>
          <w:szCs w:val="18"/>
          <w:shd w:fill="fff099" w:val="clear"/>
          <w:rtl w:val="0"/>
        </w:rPr>
        <w:t xml:space="preserve">amalgamation</w:t>
      </w:r>
      <w:r w:rsidDel="00000000" w:rsidR="00000000" w:rsidRPr="00000000">
        <w:rPr>
          <w:rFonts w:ascii="Verdana" w:cs="Verdana" w:eastAsia="Verdana" w:hAnsi="Verdana"/>
          <w:color w:val="212121"/>
          <w:sz w:val="18"/>
          <w:szCs w:val="18"/>
          <w:rtl w:val="0"/>
        </w:rPr>
        <w:t xml:space="preserve"> — the purpose of </w:t>
      </w:r>
      <w:r w:rsidDel="00000000" w:rsidR="00000000" w:rsidRPr="00000000">
        <w:rPr>
          <w:rFonts w:ascii="Verdana" w:cs="Verdana" w:eastAsia="Verdana" w:hAnsi="Verdana"/>
          <w:b w:val="1"/>
          <w:bCs w:val="1"/>
          <w:color w:val="212121"/>
          <w:sz w:val="18"/>
          <w:szCs w:val="18"/>
          <w:shd w:fill="fff099" w:val="clear"/>
          <w:rtl w:val="0"/>
        </w:rPr>
        <w:t xml:space="preserve">amalgamations</w:t>
      </w:r>
      <w:r w:rsidDel="00000000" w:rsidR="00000000" w:rsidRPr="00000000">
        <w:rPr>
          <w:rFonts w:ascii="Verdana" w:cs="Verdana" w:eastAsia="Verdana" w:hAnsi="Verdana"/>
          <w:color w:val="212121"/>
          <w:sz w:val="18"/>
          <w:szCs w:val="18"/>
          <w:rtl w:val="0"/>
        </w:rPr>
        <w:t xml:space="preserve"> has historically been an economic one: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60" w:before="460" w:line="408" w:lineRule="auto"/>
        <w:ind w:left="600" w:right="60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purpose is economic: to build, to consolidate, perhaps to diversify, existing businesses; so that through union there will be enhanced strength. It is a joining of forces and resources in order to perform better in the economic field.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such, </w:t>
      </w:r>
      <w:r w:rsidDel="00000000" w:rsidR="00000000" w:rsidRPr="00000000">
        <w:rPr>
          <w:rFonts w:ascii="Verdana" w:cs="Verdana" w:eastAsia="Verdana" w:hAnsi="Verdana"/>
          <w:color w:val="212121"/>
          <w:sz w:val="18"/>
          <w:szCs w:val="18"/>
          <w:rtl w:val="0"/>
        </w:rPr>
        <w:t xml:space="preserve">amalgamations</w:t>
      </w:r>
      <w:r w:rsidDel="00000000" w:rsidR="00000000" w:rsidRPr="00000000">
        <w:rPr>
          <w:rFonts w:ascii="Verdana" w:cs="Verdana" w:eastAsia="Verdana" w:hAnsi="Verdana"/>
          <w:color w:val="212121"/>
          <w:sz w:val="18"/>
          <w:szCs w:val="18"/>
          <w:rtl w:val="0"/>
        </w:rPr>
        <w:t xml:space="preserve"> are unsurprisingly a useful tool in M&amp;A. An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is similar to the U.S. concept of a "</w:t>
      </w:r>
      <w:r w:rsidDel="00000000" w:rsidR="00000000" w:rsidRPr="00000000">
        <w:rPr>
          <w:rFonts w:ascii="Verdana" w:cs="Verdana" w:eastAsia="Verdana" w:hAnsi="Verdana"/>
          <w:color w:val="212121"/>
          <w:sz w:val="18"/>
          <w:szCs w:val="18"/>
          <w:rtl w:val="0"/>
        </w:rPr>
        <w:t xml:space="preserve">merger</w:t>
      </w:r>
      <w:r w:rsidDel="00000000" w:rsidR="00000000" w:rsidRPr="00000000">
        <w:rPr>
          <w:rFonts w:ascii="Verdana" w:cs="Verdana" w:eastAsia="Verdana" w:hAnsi="Verdana"/>
          <w:color w:val="212121"/>
          <w:sz w:val="18"/>
          <w:szCs w:val="18"/>
          <w:rtl w:val="0"/>
        </w:rPr>
        <w:t xml:space="preserve">", as it is a statutory means of combining two or more corporations incorporated under the same statute into one continuing amalgamated corporation. However, unlike in the U.S., both parties to the </w:t>
      </w:r>
      <w:r w:rsidDel="00000000" w:rsidR="00000000" w:rsidRPr="00000000">
        <w:rPr>
          <w:rFonts w:ascii="Verdana" w:cs="Verdana" w:eastAsia="Verdana" w:hAnsi="Verdana"/>
          <w:color w:val="212121"/>
          <w:sz w:val="18"/>
          <w:szCs w:val="18"/>
          <w:rtl w:val="0"/>
        </w:rPr>
        <w:t xml:space="preserve">merger</w:t>
      </w:r>
      <w:r w:rsidDel="00000000" w:rsidR="00000000" w:rsidRPr="00000000">
        <w:rPr>
          <w:rFonts w:ascii="Verdana" w:cs="Verdana" w:eastAsia="Verdana" w:hAnsi="Verdana"/>
          <w:color w:val="212121"/>
          <w:sz w:val="18"/>
          <w:szCs w:val="18"/>
          <w:rtl w:val="0"/>
        </w:rPr>
        <w:t xml:space="preserve"> survive.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is generally tax neutral; although it does trigger a tax year-end for each amalgamating corporation. It is also very efficient from a commercial perspective, as assets and liabilities are usually not considered to be transferred or assumed. Rather, they shift to the amalgamated corporation by operation of the statute which means, among other things, that an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in and of itself does not generally trigger consent requirements or transfer taxes.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Shareholder approval is required for each amalgamating corporation. However, unlike with a plan of arrangement, court approval is generally not required. See </w:t>
      </w:r>
      <w:r w:rsidDel="00000000" w:rsidR="00000000" w:rsidRPr="00000000">
        <w:rPr>
          <w:rFonts w:ascii="Verdana" w:cs="Verdana" w:eastAsia="Verdana" w:hAnsi="Verdana"/>
          <w:i w:val="1"/>
          <w:iCs w:val="1"/>
          <w:color w:val="212121"/>
          <w:sz w:val="18"/>
          <w:szCs w:val="18"/>
          <w:rtl w:val="0"/>
        </w:rPr>
        <w:t xml:space="preserve">Shareholder Approval</w:t>
      </w:r>
      <w:r w:rsidDel="00000000" w:rsidR="00000000" w:rsidRPr="00000000">
        <w:rPr>
          <w:rFonts w:ascii="Verdana" w:cs="Verdana" w:eastAsia="Verdana" w:hAnsi="Verdana"/>
          <w:color w:val="212121"/>
          <w:sz w:val="18"/>
          <w:szCs w:val="18"/>
          <w:rtl w:val="0"/>
        </w:rPr>
        <w:t xml:space="preserve"> under </w:t>
      </w:r>
      <w:r w:rsidDel="00000000" w:rsidR="00000000" w:rsidRPr="00000000">
        <w:rPr>
          <w:rFonts w:ascii="Verdana" w:cs="Verdana" w:eastAsia="Verdana" w:hAnsi="Verdana"/>
          <w:i w:val="1"/>
          <w:iCs w:val="1"/>
          <w:color w:val="212121"/>
          <w:sz w:val="18"/>
          <w:szCs w:val="18"/>
          <w:rtl w:val="0"/>
        </w:rPr>
        <w:t xml:space="preserve">Long-Form </w:t>
      </w:r>
      <w:r w:rsidDel="00000000" w:rsidR="00000000" w:rsidRPr="00000000">
        <w:rPr>
          <w:rFonts w:ascii="Verdana" w:cs="Verdana" w:eastAsia="Verdana" w:hAnsi="Verdana"/>
          <w:i w:val="1"/>
          <w:i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below for greater detail regarding the shareholder approval process. Where a transaction proceeds by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the interests of the target's shareholders are typically terminated in exchange for a cash payment (or other securities) upon the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becoming effective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when the articles of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are filed and a certificate of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is obtained). For further details regarding the statutory </w:t>
      </w:r>
      <w:r w:rsidDel="00000000" w:rsidR="00000000" w:rsidRPr="00000000">
        <w:rPr>
          <w:rFonts w:ascii="Verdana" w:cs="Verdana" w:eastAsia="Verdana" w:hAnsi="Verdana"/>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steps, see </w:t>
      </w:r>
      <w:r w:rsidDel="00000000" w:rsidR="00000000" w:rsidRPr="00000000">
        <w:rPr>
          <w:rFonts w:ascii="Verdana" w:cs="Verdana" w:eastAsia="Verdana" w:hAnsi="Verdana"/>
          <w:i w:val="1"/>
          <w:iCs w:val="1"/>
          <w:color w:val="212121"/>
          <w:sz w:val="18"/>
          <w:szCs w:val="18"/>
          <w:rtl w:val="0"/>
        </w:rPr>
        <w:t xml:space="preserve">Long-Form </w:t>
      </w:r>
      <w:r w:rsidDel="00000000" w:rsidR="00000000" w:rsidRPr="00000000">
        <w:rPr>
          <w:rFonts w:ascii="Verdana" w:cs="Verdana" w:eastAsia="Verdana" w:hAnsi="Verdana"/>
          <w:i w:val="1"/>
          <w:i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below.</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Under the OBCA and the CBCA, the predecessor corporations to an </w:t>
      </w:r>
      <w:r w:rsidDel="00000000" w:rsidR="00000000" w:rsidRPr="00000000">
        <w:rPr>
          <w:rFonts w:ascii="Verdana" w:cs="Verdana" w:eastAsia="Verdana" w:hAnsi="Verdana"/>
          <w:b w:val="1"/>
          <w:bCs w:val="1"/>
          <w:color w:val="212121"/>
          <w:sz w:val="18"/>
          <w:szCs w:val="18"/>
          <w:shd w:fill="fff099" w:val="clear"/>
          <w:rtl w:val="0"/>
        </w:rPr>
        <w:t xml:space="preserve">amalgamation</w:t>
      </w:r>
      <w:r w:rsidDel="00000000" w:rsidR="00000000" w:rsidRPr="00000000">
        <w:rPr>
          <w:rFonts w:ascii="Verdana" w:cs="Verdana" w:eastAsia="Verdana" w:hAnsi="Verdana"/>
          <w:color w:val="212121"/>
          <w:sz w:val="18"/>
          <w:szCs w:val="18"/>
          <w:rtl w:val="0"/>
        </w:rPr>
        <w:t xml:space="preserve"> must be incorporated under the same statute or one must be continued into the jurisdiction of the other (see definition of "corporation" under s. </w:t>
      </w:r>
      <w:hyperlink r:id="rId7">
        <w:r w:rsidDel="00000000" w:rsidR="00000000" w:rsidRPr="00000000">
          <w:rPr>
            <w:rFonts w:ascii="Verdana" w:cs="Verdana" w:eastAsia="Verdana" w:hAnsi="Verdana"/>
            <w:color w:val="006ebb"/>
            <w:sz w:val="18"/>
            <w:szCs w:val="18"/>
            <w:u w:val="single"/>
            <w:rtl w:val="0"/>
          </w:rPr>
          <w:t xml:space="preserve">1</w:t>
        </w:r>
      </w:hyperlink>
      <w:r w:rsidDel="00000000" w:rsidR="00000000" w:rsidRPr="00000000">
        <w:rPr>
          <w:rFonts w:ascii="Verdana" w:cs="Verdana" w:eastAsia="Verdana" w:hAnsi="Verdana"/>
          <w:color w:val="212121"/>
          <w:sz w:val="18"/>
          <w:szCs w:val="18"/>
          <w:rtl w:val="0"/>
        </w:rPr>
        <w:t xml:space="preserve">(1) of the OBCA and s. </w:t>
      </w:r>
      <w:hyperlink r:id="rId8">
        <w:r w:rsidDel="00000000" w:rsidR="00000000" w:rsidRPr="00000000">
          <w:rPr>
            <w:rFonts w:ascii="Verdana" w:cs="Verdana" w:eastAsia="Verdana" w:hAnsi="Verdana"/>
            <w:color w:val="006ebb"/>
            <w:sz w:val="18"/>
            <w:szCs w:val="18"/>
            <w:u w:val="single"/>
            <w:rtl w:val="0"/>
          </w:rPr>
          <w:t xml:space="preserve">2</w:t>
        </w:r>
      </w:hyperlink>
      <w:r w:rsidDel="00000000" w:rsidR="00000000" w:rsidRPr="00000000">
        <w:rPr>
          <w:rFonts w:ascii="Verdana" w:cs="Verdana" w:eastAsia="Verdana" w:hAnsi="Verdana"/>
          <w:color w:val="212121"/>
          <w:sz w:val="18"/>
          <w:szCs w:val="18"/>
          <w:rtl w:val="0"/>
        </w:rPr>
        <w:t xml:space="preserve">(1) of the CBCA).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If this is not practicable, a "three-cornered </w:t>
      </w:r>
      <w:r w:rsidDel="00000000" w:rsidR="00000000" w:rsidRPr="00000000">
        <w:rPr>
          <w:rFonts w:ascii="Verdana" w:cs="Verdana" w:eastAsia="Verdana" w:hAnsi="Verdana"/>
          <w:b w:val="1"/>
          <w:bCs w:val="1"/>
          <w:color w:val="212121"/>
          <w:sz w:val="18"/>
          <w:szCs w:val="18"/>
          <w:shd w:fill="fff099" w:val="clear"/>
          <w:rtl w:val="0"/>
        </w:rPr>
        <w:t xml:space="preserve">amalgamation</w:t>
      </w:r>
      <w:r w:rsidDel="00000000" w:rsidR="00000000" w:rsidRPr="00000000">
        <w:rPr>
          <w:rFonts w:ascii="Verdana" w:cs="Verdana" w:eastAsia="Verdana" w:hAnsi="Verdana"/>
          <w:color w:val="212121"/>
          <w:sz w:val="18"/>
          <w:szCs w:val="18"/>
          <w:rtl w:val="0"/>
        </w:rPr>
        <w:t xml:space="preserve">" should be considered, particularly where public companies are involved. In this procedure, the acquiring corporation incorporates a new subsidiary under the target's governing statute and amalgamates the subsidiary with the target. Once this has occurred, the former shareholders of the target are issued shares in the acquiror (or other satisfactory consideration) and the acquiror takes all the shares of the subsidiary, thereby gaining complete control of the target and its business.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Consideration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consideration offered to the target's shareholders may be in the form of cash or shares.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Generally, institutional shareholders will prefer cash, particularly where there are alternative investment vehicles in the target's industry. However, founders and other insiders may prefer share consideration for tax and other reasons. For example, an offer of solely shares of the amalgamated corporation or its Canadian parent may provide a tax deferred roll-over to Canadian target shareholders, which will be an advantage if the shareholders have capital gains and are taxable (unlike many institutional shareholders). When consideration includes cash or other non-share consideration, in order to benefit from the tax deferral, two steps are required:</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1</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redeemable preferred shares are issued on the </w:t>
      </w:r>
      <w:r w:rsidDel="00000000" w:rsidR="00000000" w:rsidRPr="00000000">
        <w:rPr>
          <w:rFonts w:ascii="Verdana" w:cs="Verdana" w:eastAsia="Verdana" w:hAnsi="Verdana"/>
          <w:b w:val="1"/>
          <w:bCs w:val="1"/>
          <w:color w:val="212121"/>
          <w:sz w:val="18"/>
          <w:szCs w:val="18"/>
          <w:shd w:fill="fff099" w:val="clear"/>
          <w:rtl w:val="0"/>
        </w:rPr>
        <w:t xml:space="preserve">amalgamation</w:t>
      </w:r>
      <w:r w:rsidDel="00000000" w:rsidR="00000000" w:rsidRPr="00000000">
        <w:rPr>
          <w:rFonts w:ascii="Verdana" w:cs="Verdana" w:eastAsia="Verdana" w:hAnsi="Verdana"/>
          <w:color w:val="212121"/>
          <w:sz w:val="18"/>
          <w:szCs w:val="18"/>
          <w:rtl w:val="0"/>
        </w:rPr>
        <w:t xml:space="preserve">; and</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2</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immediate redemption of those shares for other consideration.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Redemption of the transitory shares can give rise to a deemed dividend (and related withholding tax for non-residents) or a capital gain, depending on the circumstances. It is often possible to plan for either outcome.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tax implications of any </w:t>
      </w:r>
      <w:r w:rsidDel="00000000" w:rsidR="00000000" w:rsidRPr="00000000">
        <w:rPr>
          <w:rFonts w:ascii="Verdana" w:cs="Verdana" w:eastAsia="Verdana" w:hAnsi="Verdana"/>
          <w:b w:val="1"/>
          <w:b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should be discussed in detail early on with tax counsel.</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It should be noted that, absent relief, non-Canadian/non-U.S. companies offering securities may be required to reconcile or conform their financial statements, MD&amp;A and auditors' reports to International Financial Reporting Standards.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Amalgamation</w:t>
      </w:r>
      <w:r w:rsidDel="00000000" w:rsidR="00000000" w:rsidRPr="00000000">
        <w:rPr>
          <w:rFonts w:ascii="Verdana" w:cs="Verdana" w:eastAsia="Verdana" w:hAnsi="Verdana"/>
          <w:b w:val="1"/>
          <w:bCs w:val="1"/>
          <w:i w:val="1"/>
          <w:iCs w:val="1"/>
          <w:color w:val="212121"/>
          <w:sz w:val="18"/>
          <w:szCs w:val="18"/>
          <w:rtl w:val="0"/>
        </w:rPr>
        <w:t xml:space="preserve"> Agreement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As outlined in greater detail below in </w:t>
      </w:r>
      <w:r w:rsidDel="00000000" w:rsidR="00000000" w:rsidRPr="00000000">
        <w:rPr>
          <w:rFonts w:ascii="Verdana" w:cs="Verdana" w:eastAsia="Verdana" w:hAnsi="Verdana"/>
          <w:b w:val="1"/>
          <w:bCs w:val="1"/>
          <w:i w:val="1"/>
          <w:iCs w:val="1"/>
          <w:color w:val="212121"/>
          <w:sz w:val="18"/>
          <w:szCs w:val="18"/>
          <w:rtl w:val="0"/>
        </w:rPr>
        <w:t xml:space="preserve">Amalgamation</w:t>
      </w:r>
      <w:r w:rsidDel="00000000" w:rsidR="00000000" w:rsidRPr="00000000">
        <w:rPr>
          <w:rFonts w:ascii="Verdana" w:cs="Verdana" w:eastAsia="Verdana" w:hAnsi="Verdana"/>
          <w:i w:val="1"/>
          <w:iCs w:val="1"/>
          <w:color w:val="212121"/>
          <w:sz w:val="18"/>
          <w:szCs w:val="18"/>
          <w:rtl w:val="0"/>
        </w:rPr>
        <w:t xml:space="preserve"> Agreement</w:t>
      </w:r>
      <w:r w:rsidDel="00000000" w:rsidR="00000000" w:rsidRPr="00000000">
        <w:rPr>
          <w:rFonts w:ascii="Verdana" w:cs="Verdana" w:eastAsia="Verdana" w:hAnsi="Verdana"/>
          <w:color w:val="212121"/>
          <w:sz w:val="18"/>
          <w:szCs w:val="18"/>
          <w:rtl w:val="0"/>
        </w:rPr>
        <w:t xml:space="preserve"> under </w:t>
      </w:r>
      <w:r w:rsidDel="00000000" w:rsidR="00000000" w:rsidRPr="00000000">
        <w:rPr>
          <w:rFonts w:ascii="Verdana" w:cs="Verdana" w:eastAsia="Verdana" w:hAnsi="Verdana"/>
          <w:b w:val="1"/>
          <w:bCs w:val="1"/>
          <w:i w:val="1"/>
          <w:iCs w:val="1"/>
          <w:color w:val="212121"/>
          <w:sz w:val="18"/>
          <w:szCs w:val="18"/>
          <w:rtl w:val="0"/>
        </w:rPr>
        <w:t xml:space="preserve">Long-Form </w:t>
      </w:r>
      <w:r w:rsidDel="00000000" w:rsidR="00000000" w:rsidRPr="00000000">
        <w:rPr>
          <w:rFonts w:ascii="Verdana" w:cs="Verdana" w:eastAsia="Verdana" w:hAnsi="Verdana"/>
          <w:b w:val="1"/>
          <w:bCs w:val="1"/>
          <w:i w:val="1"/>
          <w:i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the acquiring corporation and the target must enter into an </w:t>
      </w:r>
      <w:r w:rsidDel="00000000" w:rsidR="00000000" w:rsidRPr="00000000">
        <w:rPr>
          <w:rFonts w:ascii="Verdana" w:cs="Verdana" w:eastAsia="Verdana" w:hAnsi="Verdana"/>
          <w:b w:val="1"/>
          <w:bCs w:val="1"/>
          <w:color w:val="212121"/>
          <w:sz w:val="18"/>
          <w:szCs w:val="18"/>
          <w:rtl w:val="0"/>
        </w:rPr>
        <w:t xml:space="preserve">amalgamation</w:t>
      </w:r>
      <w:r w:rsidDel="00000000" w:rsidR="00000000" w:rsidRPr="00000000">
        <w:rPr>
          <w:rFonts w:ascii="Verdana" w:cs="Verdana" w:eastAsia="Verdana" w:hAnsi="Verdana"/>
          <w:color w:val="212121"/>
          <w:sz w:val="18"/>
          <w:szCs w:val="18"/>
          <w:rtl w:val="0"/>
        </w:rPr>
        <w:t xml:space="preserve"> agreement. The agreement is a contract between the amalgamating corporations, but it must also address the matters set out in the governing statute.</w:t>
      </w:r>
    </w:p>
    <w:p w:rsidR="00000000" w:rsidDel="00000000" w:rsidP="00000000" w:rsidRDefault="00000000" w:rsidRPr="00000000" w14:paraId="00000029">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5760" w:hanging="5760"/>
      <w:rPr/>
    </w:pPr>
    <w:r w:rsidDel="00000000" w:rsidR="00000000" w:rsidRPr="00000000">
      <w:rPr/>
      <w:drawing>
        <wp:inline distB="114300" distT="114300" distL="114300" distR="114300">
          <wp:extent cx="1771877" cy="9540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71877" cy="954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 Id="rId7"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 Id="rId8" Type="http://schemas.openxmlformats.org/officeDocument/2006/relationships/hyperlink" Target="https://advance.lexis.com/document/documentlink/?pdmfid=1518425&amp;crid=1cc01eaf-99e1-44bb-aa42-b8acf11038a6&amp;pddocfullpath=%2Fshared%2Fdocument%2Fanalytical-materials-lpa-ca%2Furn%3AcontentItem%3A61PF-RTF1-F7G6-603K-00000-00&amp;pdcontentcomponentid=402959&amp;pddoctitle=Amalgamations+in+M%26A+Transactions+(CBCA%2C+OBCA)&amp;pdproductcontenttypeid=urn%3Apct%3A322&amp;pdiskwicview=false&amp;ecomp=ghb9k&amp;prid=1b09bb77-cb59-4155-9e9c-491bde0b59a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