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 - Amalgamation - Triangle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alf4p2wq309" w:id="4"/>
      <w:bookmarkEnd w:id="4"/>
      <w:r w:rsidDel="00000000" w:rsidR="00000000" w:rsidRPr="00000000">
        <w:rPr>
          <w:rtl w:val="0"/>
        </w:rPr>
        <w:t xml:space="preserve">Types of Amalgamations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ddpwk768sklf" w:id="5"/>
      <w:bookmarkEnd w:id="5"/>
      <w:r w:rsidDel="00000000" w:rsidR="00000000" w:rsidRPr="00000000">
        <w:rPr>
          <w:rtl w:val="0"/>
        </w:rPr>
        <w:t xml:space="preserve">1.</w:t>
        <w:tab/>
        <w:t xml:space="preserve">Vertical </w:t>
      </w:r>
    </w:p>
    <w:p w:rsidR="00000000" w:rsidDel="00000000" w:rsidP="00000000" w:rsidRDefault="00000000" w:rsidRPr="00000000" w14:paraId="0000000F">
      <w:pPr>
        <w:pStyle w:val="Heading2"/>
        <w:rPr/>
      </w:pPr>
      <w:bookmarkStart w:colFirst="0" w:colLast="0" w:name="_al9hkjabtl5o" w:id="6"/>
      <w:bookmarkEnd w:id="6"/>
      <w:r w:rsidDel="00000000" w:rsidR="00000000" w:rsidRPr="00000000">
        <w:rPr>
          <w:rtl w:val="0"/>
        </w:rPr>
        <w:t xml:space="preserve">2. </w:t>
        <w:tab/>
        <w:t xml:space="preserve">Horizontal </w:t>
      </w:r>
    </w:p>
    <w:p w:rsidR="00000000" w:rsidDel="00000000" w:rsidP="00000000" w:rsidRDefault="00000000" w:rsidRPr="00000000" w14:paraId="00000010">
      <w:pPr>
        <w:pStyle w:val="Heading2"/>
        <w:rPr/>
      </w:pPr>
      <w:bookmarkStart w:colFirst="0" w:colLast="0" w:name="_k7gi76dl695z" w:id="7"/>
      <w:bookmarkEnd w:id="7"/>
      <w:r w:rsidDel="00000000" w:rsidR="00000000" w:rsidRPr="00000000">
        <w:rPr>
          <w:rtl w:val="0"/>
        </w:rPr>
        <w:t xml:space="preserve">3.</w:t>
        <w:tab/>
        <w:t xml:space="preserve">Triangle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rFonts w:ascii="Verdana" w:cs="Verdana" w:eastAsia="Verdana" w:hAnsi="Verdana"/>
          <w:b w:val="1"/>
          <w:bCs w:val="1"/>
          <w:color w:val="212121"/>
          <w:sz w:val="18"/>
          <w:szCs w:val="18"/>
        </w:rPr>
      </w:pPr>
      <w:bookmarkStart w:colFirst="0" w:colLast="0" w:name="_wiw2e84c63ox" w:id="8"/>
      <w:bookmarkEnd w:id="8"/>
      <w:r w:rsidDel="00000000" w:rsidR="00000000" w:rsidRPr="00000000">
        <w:rPr>
          <w:rtl w:val="0"/>
        </w:rPr>
        <w:t xml:space="preserve">Long Form Amalgamation</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the OBCA and the CBCA, the predecessor corporations to an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must be incorporated under the same statute or one must be continued into the jurisdiction of the other (see definition of "corporation" under s. </w:t>
      </w:r>
      <w:hyperlink r:id="rId6">
        <w:r w:rsidDel="00000000" w:rsidR="00000000" w:rsidRPr="00000000">
          <w:rPr>
            <w:rFonts w:ascii="Verdana" w:cs="Verdana" w:eastAsia="Verdana" w:hAnsi="Verdana"/>
            <w:color w:val="006ebb"/>
            <w:sz w:val="18"/>
            <w:szCs w:val="18"/>
            <w:u w:val="single"/>
            <w:rtl w:val="0"/>
          </w:rPr>
          <w:t xml:space="preserve">1</w:t>
        </w:r>
      </w:hyperlink>
      <w:r w:rsidDel="00000000" w:rsidR="00000000" w:rsidRPr="00000000">
        <w:rPr>
          <w:rFonts w:ascii="Verdana" w:cs="Verdana" w:eastAsia="Verdana" w:hAnsi="Verdana"/>
          <w:color w:val="212121"/>
          <w:sz w:val="18"/>
          <w:szCs w:val="18"/>
          <w:rtl w:val="0"/>
        </w:rPr>
        <w:t xml:space="preserve">(1) of the OBCA and s. </w:t>
      </w:r>
      <w:hyperlink r:id="rId7">
        <w:r w:rsidDel="00000000" w:rsidR="00000000" w:rsidRPr="00000000">
          <w:rPr>
            <w:rFonts w:ascii="Verdana" w:cs="Verdana" w:eastAsia="Verdana" w:hAnsi="Verdana"/>
            <w:color w:val="006ebb"/>
            <w:sz w:val="18"/>
            <w:szCs w:val="18"/>
            <w:u w:val="single"/>
            <w:rtl w:val="0"/>
          </w:rPr>
          <w:t xml:space="preserve">2</w:t>
        </w:r>
      </w:hyperlink>
      <w:r w:rsidDel="00000000" w:rsidR="00000000" w:rsidRPr="00000000">
        <w:rPr>
          <w:rFonts w:ascii="Verdana" w:cs="Verdana" w:eastAsia="Verdana" w:hAnsi="Verdana"/>
          <w:color w:val="212121"/>
          <w:sz w:val="18"/>
          <w:szCs w:val="18"/>
          <w:rtl w:val="0"/>
        </w:rPr>
        <w:t xml:space="preserve">(1) of the CBCA).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If this is not practicable, a "three-cornered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should be considered, particularly where public companies are involved. In this procedure, the acquiring corporation incorporates a new subsidiary under the target's governing statute and amalgamates the subsidiary with the target. Once this has occurred, the former shareholders of the target are issued shares in the acquiror (or other satisfactory consideration) and the acquiror takes all the shares of the subsidiary, thereby gaining complete control of the target and its business.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Consideration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consideration offered to the target's shareholders may be in the form of cash or shares.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Generally, institutional shareholders will prefer cash, particularly where there are alternative investment vehicles in the target's industry. However, founders and other insiders may prefer share consideration for tax and other reasons. For example, an offer of solely shares of the amalgamated corporation or its Canadian parent may provide a tax deferred roll-over to Canadian target shareholders, which will be an advantage if the shareholders have capital gains and are taxable (unlike many institutional shareholders). When consideration includes cash or other non-share consideration, in order to benefit from the tax deferral, two steps are required:</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redeemable preferred shares are issued on the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and</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2</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immediate redemption of those shares for other consideration.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Redemption of the transitory shares can give rise to a deemed dividend (and related withholding tax for non-residents) or a capital gain, depending on the circumstances. It is often possible to plan for either outcome.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tax implications of any </w:t>
      </w:r>
      <w:r w:rsidDel="00000000" w:rsidR="00000000" w:rsidRPr="00000000">
        <w:rPr>
          <w:rFonts w:ascii="Verdana" w:cs="Verdana" w:eastAsia="Verdana" w:hAnsi="Verdana"/>
          <w:b w:val="1"/>
          <w:b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should be discussed in detail early on with tax counsel.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should be noted that, absent relief, non-Canadian/non-U.S. companies offering securities may be required to reconcile or conform their financial statements, MD&amp;A and auditors' reports to International Financial Reporting Standards.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b w:val="1"/>
          <w:bCs w:val="1"/>
          <w:i w:val="1"/>
          <w:iCs w:val="1"/>
          <w:color w:val="212121"/>
          <w:sz w:val="18"/>
          <w:szCs w:val="18"/>
          <w:rtl w:val="0"/>
        </w:rPr>
        <w:t xml:space="preserve"> Agreement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outlined in greater detail below in </w:t>
      </w: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i w:val="1"/>
          <w:iCs w:val="1"/>
          <w:color w:val="212121"/>
          <w:sz w:val="18"/>
          <w:szCs w:val="18"/>
          <w:rtl w:val="0"/>
        </w:rPr>
        <w:t xml:space="preserve"> Agreement</w:t>
      </w:r>
      <w:r w:rsidDel="00000000" w:rsidR="00000000" w:rsidRPr="00000000">
        <w:rPr>
          <w:rFonts w:ascii="Verdana" w:cs="Verdana" w:eastAsia="Verdana" w:hAnsi="Verdana"/>
          <w:color w:val="212121"/>
          <w:sz w:val="18"/>
          <w:szCs w:val="18"/>
          <w:rtl w:val="0"/>
        </w:rPr>
        <w:t xml:space="preserve"> under </w:t>
      </w:r>
      <w:r w:rsidDel="00000000" w:rsidR="00000000" w:rsidRPr="00000000">
        <w:rPr>
          <w:rFonts w:ascii="Verdana" w:cs="Verdana" w:eastAsia="Verdana" w:hAnsi="Verdana"/>
          <w:b w:val="1"/>
          <w:bCs w:val="1"/>
          <w:i w:val="1"/>
          <w:iCs w:val="1"/>
          <w:color w:val="212121"/>
          <w:sz w:val="18"/>
          <w:szCs w:val="18"/>
          <w:rtl w:val="0"/>
        </w:rPr>
        <w:t xml:space="preserve">Long-Form </w:t>
      </w: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the acquiring corporation and the target must enter into an </w:t>
      </w:r>
      <w:r w:rsidDel="00000000" w:rsidR="00000000" w:rsidRPr="00000000">
        <w:rPr>
          <w:rFonts w:ascii="Verdana" w:cs="Verdana" w:eastAsia="Verdana" w:hAnsi="Verdana"/>
          <w:b w:val="1"/>
          <w:b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agreement. The agreement is a contract between the amalgamating corporations, but it must also address the matters set out in the governing statute.</w:t>
      </w:r>
    </w:p>
    <w:p w:rsidR="00000000" w:rsidDel="00000000" w:rsidP="00000000" w:rsidRDefault="00000000" w:rsidRPr="00000000" w14:paraId="00000023">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7"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