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before="0" w:line="240" w:lineRule="auto"/>
        <w:rPr>
          <w:rFonts w:ascii="Times New Roman" w:cs="Times New Roman" w:eastAsia="Times New Roman" w:hAnsi="Times New Roman"/>
          <w:b w:val="1"/>
          <w:bCs w:val="1"/>
          <w:color w:val="08122b"/>
          <w:u w:val="none"/>
        </w:rPr>
      </w:pPr>
      <w:bookmarkStart w:colFirst="0" w:colLast="0" w:name="_1yfckedhpjf4" w:id="0"/>
      <w:bookmarkEnd w:id="0"/>
      <w:r w:rsidDel="00000000" w:rsidR="00000000" w:rsidRPr="00000000">
        <w:rPr>
          <w:rFonts w:ascii="Times New Roman" w:cs="Times New Roman" w:eastAsia="Times New Roman" w:hAnsi="Times New Roman"/>
          <w:b w:val="1"/>
          <w:bCs w:val="1"/>
          <w:color w:val="08122b"/>
          <w:u w:val="none"/>
          <w:rtl w:val="0"/>
        </w:rPr>
        <w:t xml:space="preserve">Matthew AJ Levine </w:t>
      </w:r>
    </w:p>
    <w:p w:rsidR="00000000" w:rsidDel="00000000" w:rsidP="00000000" w:rsidRDefault="00000000" w:rsidRPr="00000000" w14:paraId="00000002">
      <w:pPr>
        <w:pStyle w:val="Heading4"/>
        <w:spacing w:before="0" w:line="240" w:lineRule="auto"/>
        <w:rPr>
          <w:rFonts w:ascii="Times New Roman" w:cs="Times New Roman" w:eastAsia="Times New Roman" w:hAnsi="Times New Roman"/>
          <w:b w:val="1"/>
          <w:bCs w:val="1"/>
          <w:color w:val="08122b"/>
          <w:u w:val="none"/>
        </w:rPr>
      </w:pPr>
      <w:bookmarkStart w:colFirst="0" w:colLast="0" w:name="_paiv2oq3e778" w:id="1"/>
      <w:bookmarkEnd w:id="1"/>
      <w:r w:rsidDel="00000000" w:rsidR="00000000" w:rsidRPr="00000000">
        <w:rPr>
          <w:rFonts w:ascii="Times New Roman" w:cs="Times New Roman" w:eastAsia="Times New Roman" w:hAnsi="Times New Roman"/>
          <w:b w:val="1"/>
          <w:bCs w:val="1"/>
          <w:color w:val="08122b"/>
          <w:u w:val="none"/>
          <w:rtl w:val="0"/>
        </w:rPr>
        <w:t xml:space="preserve">Professional Corporation</w:t>
      </w:r>
    </w:p>
    <w:p w:rsidR="00000000" w:rsidDel="00000000" w:rsidP="00000000" w:rsidRDefault="00000000" w:rsidRPr="00000000" w14:paraId="00000003">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Suite 700 - 1235 Bay Street</w:t>
      </w:r>
    </w:p>
    <w:p w:rsidR="00000000" w:rsidDel="00000000" w:rsidP="00000000" w:rsidRDefault="00000000" w:rsidRPr="00000000" w14:paraId="00000004">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Yorkville, Toronto, M5R 3K4 </w:t>
      </w:r>
    </w:p>
    <w:p w:rsidR="00000000" w:rsidDel="00000000" w:rsidP="00000000" w:rsidRDefault="00000000" w:rsidRPr="00000000" w14:paraId="00000005">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+1 (647) 598-2598</w:t>
      </w:r>
    </w:p>
    <w:p w:rsidR="00000000" w:rsidDel="00000000" w:rsidP="00000000" w:rsidRDefault="00000000" w:rsidRPr="00000000" w14:paraId="00000006">
      <w:pPr>
        <w:spacing w:before="0" w:line="240" w:lineRule="auto"/>
        <w:rPr>
          <w:rFonts w:ascii="Times New Roman" w:cs="Times New Roman" w:eastAsia="Times New Roman" w:hAnsi="Times New Roman"/>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office@levinelegal.ca</w:t>
      </w:r>
    </w:p>
    <w:p w:rsidR="00000000" w:rsidDel="00000000" w:rsidP="00000000" w:rsidRDefault="00000000" w:rsidRPr="00000000" w14:paraId="00000007">
      <w:pPr>
        <w:spacing w:before="0" w:line="240" w:lineRule="auto"/>
        <w:jc w:val="right"/>
        <w:rPr>
          <w:rFonts w:ascii="Times New Roman" w:cs="Times New Roman" w:eastAsia="Times New Roman" w:hAnsi="Times New Roman"/>
          <w:color w:val="666666"/>
          <w:sz w:val="20"/>
          <w:szCs w:val="20"/>
        </w:rPr>
      </w:pPr>
      <w:r w:rsidDel="00000000" w:rsidR="00000000" w:rsidRPr="00000000">
        <w:rPr>
          <w:rtl w:val="0"/>
        </w:rPr>
      </w:r>
    </w:p>
    <w:p w:rsidR="00000000" w:rsidDel="00000000" w:rsidP="00000000" w:rsidRDefault="00000000" w:rsidRPr="00000000" w14:paraId="00000008">
      <w:pPr>
        <w:spacing w:before="0" w:line="240" w:lineRule="auto"/>
        <w:rPr/>
      </w:pPr>
      <w:r w:rsidDel="00000000" w:rsidR="00000000" w:rsidRPr="00000000">
        <w:rPr>
          <w:rtl w:val="0"/>
        </w:rPr>
      </w:r>
    </w:p>
    <w:p w:rsidR="00000000" w:rsidDel="00000000" w:rsidP="00000000" w:rsidRDefault="00000000" w:rsidRPr="00000000" w14:paraId="00000009">
      <w:pPr>
        <w:pStyle w:val="Title"/>
        <w:jc w:val="both"/>
        <w:rPr/>
      </w:pPr>
      <w:bookmarkStart w:colFirst="0" w:colLast="0" w:name="_ajkbc8tn9asw" w:id="2"/>
      <w:bookmarkEnd w:id="2"/>
      <w:r w:rsidDel="00000000" w:rsidR="00000000" w:rsidRPr="00000000">
        <w:rPr>
          <w:rtl w:val="0"/>
        </w:rPr>
        <w:t xml:space="preserve">Corporate Law Practice - Transaction - Amalgamation </w:t>
      </w:r>
    </w:p>
    <w:p w:rsidR="00000000" w:rsidDel="00000000" w:rsidP="00000000" w:rsidRDefault="00000000" w:rsidRPr="00000000" w14:paraId="0000000A">
      <w:pPr>
        <w:pStyle w:val="Subtitle"/>
        <w:rPr>
          <w:b w:val="1"/>
          <w:bCs w:val="1"/>
          <w:sz w:val="28"/>
          <w:szCs w:val="28"/>
        </w:rPr>
      </w:pPr>
      <w:bookmarkStart w:colFirst="0" w:colLast="0" w:name="_uma5oi9xgh2" w:id="3"/>
      <w:bookmarkEnd w:id="3"/>
      <w:r w:rsidDel="00000000" w:rsidR="00000000" w:rsidRPr="00000000">
        <w:rPr>
          <w:b w:val="1"/>
          <w:bCs w:val="1"/>
          <w:sz w:val="28"/>
          <w:szCs w:val="28"/>
          <w:rtl w:val="0"/>
        </w:rPr>
        <w:t xml:space="preserve">1</w:t>
      </w:r>
      <w:r w:rsidDel="00000000" w:rsidR="00000000" w:rsidRPr="00000000">
        <w:rPr>
          <w:b w:val="1"/>
          <w:bCs w:val="1"/>
          <w:sz w:val="28"/>
          <w:szCs w:val="28"/>
          <w:vertAlign w:val="superscript"/>
          <w:rtl w:val="0"/>
        </w:rPr>
        <w:t xml:space="preserve">st</w:t>
      </w:r>
      <w:r w:rsidDel="00000000" w:rsidR="00000000" w:rsidRPr="00000000">
        <w:rPr>
          <w:b w:val="1"/>
          <w:bCs w:val="1"/>
          <w:sz w:val="28"/>
          <w:szCs w:val="28"/>
          <w:rtl w:val="0"/>
        </w:rPr>
        <w:t xml:space="preserve"> January 2024</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yalf4p2wq309" w:id="4"/>
      <w:bookmarkEnd w:id="4"/>
      <w:r w:rsidDel="00000000" w:rsidR="00000000" w:rsidRPr="00000000">
        <w:rPr>
          <w:rtl w:val="0"/>
        </w:rPr>
        <w:t xml:space="preserve">Types of Amalgamations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rPr/>
      </w:pPr>
      <w:bookmarkStart w:colFirst="0" w:colLast="0" w:name="_ddpwk768sklf" w:id="5"/>
      <w:bookmarkEnd w:id="5"/>
      <w:r w:rsidDel="00000000" w:rsidR="00000000" w:rsidRPr="00000000">
        <w:rPr>
          <w:rtl w:val="0"/>
        </w:rPr>
        <w:t xml:space="preserve">1.</w:t>
        <w:tab/>
        <w:t xml:space="preserve">Vertical </w:t>
      </w:r>
    </w:p>
    <w:p w:rsidR="00000000" w:rsidDel="00000000" w:rsidP="00000000" w:rsidRDefault="00000000" w:rsidRPr="00000000" w14:paraId="0000000F">
      <w:pPr>
        <w:pStyle w:val="Heading2"/>
        <w:rPr/>
      </w:pPr>
      <w:bookmarkStart w:colFirst="0" w:colLast="0" w:name="_al9hkjabtl5o" w:id="6"/>
      <w:bookmarkEnd w:id="6"/>
      <w:r w:rsidDel="00000000" w:rsidR="00000000" w:rsidRPr="00000000">
        <w:rPr>
          <w:rtl w:val="0"/>
        </w:rPr>
        <w:t xml:space="preserve">2. </w:t>
        <w:tab/>
        <w:t xml:space="preserve">Horizontal </w:t>
      </w:r>
    </w:p>
    <w:p w:rsidR="00000000" w:rsidDel="00000000" w:rsidP="00000000" w:rsidRDefault="00000000" w:rsidRPr="00000000" w14:paraId="00000010">
      <w:pPr>
        <w:pStyle w:val="Heading2"/>
        <w:rPr/>
      </w:pPr>
      <w:bookmarkStart w:colFirst="0" w:colLast="0" w:name="_k7gi76dl695z" w:id="7"/>
      <w:bookmarkEnd w:id="7"/>
      <w:r w:rsidDel="00000000" w:rsidR="00000000" w:rsidRPr="00000000">
        <w:rPr>
          <w:rtl w:val="0"/>
        </w:rPr>
        <w:t xml:space="preserve">3.</w:t>
        <w:tab/>
        <w:t xml:space="preserve">Triangle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wiw2e84c63ox" w:id="8"/>
      <w:bookmarkEnd w:id="8"/>
      <w:r w:rsidDel="00000000" w:rsidR="00000000" w:rsidRPr="00000000">
        <w:rPr>
          <w:rtl w:val="0"/>
        </w:rPr>
        <w:t xml:space="preserve">Short Form, Vertical Amalgamation</w:t>
      </w:r>
    </w:p>
    <w:p w:rsidR="00000000" w:rsidDel="00000000" w:rsidP="00000000" w:rsidRDefault="00000000" w:rsidRPr="00000000" w14:paraId="00000013">
      <w:pPr>
        <w:pStyle w:val="Heading2"/>
        <w:rPr/>
      </w:pPr>
      <w:bookmarkStart w:colFirst="0" w:colLast="0" w:name="_qhzji62vyhcm" w:id="9"/>
      <w:bookmarkEnd w:id="9"/>
      <w:r w:rsidDel="00000000" w:rsidR="00000000" w:rsidRPr="00000000">
        <w:rPr>
          <w:rtl w:val="0"/>
        </w:rPr>
      </w:r>
    </w:p>
    <w:p w:rsidR="00000000" w:rsidDel="00000000" w:rsidP="00000000" w:rsidRDefault="00000000" w:rsidRPr="00000000" w14:paraId="00000014">
      <w:pPr>
        <w:rPr>
          <w:rFonts w:ascii="Times" w:cs="Times" w:eastAsia="Times" w:hAnsi="Times"/>
          <w:sz w:val="17"/>
          <w:szCs w:val="17"/>
        </w:rPr>
      </w:pPr>
      <w:r w:rsidDel="00000000" w:rsidR="00000000" w:rsidRPr="00000000">
        <w:rPr>
          <w:rFonts w:ascii="Times" w:cs="Times" w:eastAsia="Times" w:hAnsi="Times"/>
          <w:sz w:val="17"/>
          <w:szCs w:val="17"/>
          <w:rtl w:val="0"/>
        </w:rPr>
        <w:t xml:space="preserve">“Short-form” amalgamations are exempted from certain of the requirements for long-form amalgamations. The principal advantage of short-form amalgamations is that they do not require shareholder approval. Instead, the proposed amalgamation must only be approved by resolution of the directors of each amalgamating corporation (although in some jurisdictions court approval may be required). In a short-form amalgamation, there is no requirement to enter into an amalgamation agreement and the only approval required is that of the directors, at least under the CBCA and OBCA.</w:t>
      </w:r>
    </w:p>
    <w:p w:rsidR="00000000" w:rsidDel="00000000" w:rsidP="00000000" w:rsidRDefault="00000000" w:rsidRPr="00000000" w14:paraId="00000015">
      <w:pPr>
        <w:spacing w:before="0" w:line="276" w:lineRule="auto"/>
        <w:rPr>
          <w:rFonts w:ascii="Times" w:cs="Times" w:eastAsia="Times" w:hAnsi="Times"/>
          <w:sz w:val="17"/>
          <w:szCs w:val="17"/>
        </w:rPr>
      </w:pPr>
      <w:r w:rsidDel="00000000" w:rsidR="00000000" w:rsidRPr="00000000">
        <w:rPr>
          <w:rtl w:val="0"/>
        </w:rPr>
      </w:r>
    </w:p>
    <w:p w:rsidR="00000000" w:rsidDel="00000000" w:rsidP="00000000" w:rsidRDefault="00000000" w:rsidRPr="00000000" w14:paraId="00000016">
      <w:pPr>
        <w:spacing w:before="0" w:line="276" w:lineRule="auto"/>
        <w:rPr>
          <w:rFonts w:ascii="Times" w:cs="Times" w:eastAsia="Times" w:hAnsi="Times"/>
          <w:sz w:val="17"/>
          <w:szCs w:val="17"/>
        </w:rPr>
      </w:pPr>
      <w:r w:rsidDel="00000000" w:rsidR="00000000" w:rsidRPr="00000000">
        <w:rPr>
          <w:rFonts w:ascii="Times" w:cs="Times" w:eastAsia="Times" w:hAnsi="Times"/>
          <w:sz w:val="17"/>
          <w:szCs w:val="17"/>
          <w:rtl w:val="0"/>
        </w:rPr>
        <w:t xml:space="preserve">On a vertical short-form amalgamation (parent and one or more wholly-owned subsidiaries), the accounting consequences are:</w:t>
      </w:r>
    </w:p>
    <w:p w:rsidR="00000000" w:rsidDel="00000000" w:rsidP="00000000" w:rsidRDefault="00000000" w:rsidRPr="00000000" w14:paraId="00000017">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 the shares of the amalgamated subsidiary are cancelled without payment,</w:t>
      </w:r>
    </w:p>
    <w:p w:rsidR="00000000" w:rsidDel="00000000" w:rsidP="00000000" w:rsidRDefault="00000000" w:rsidRPr="00000000" w14:paraId="00000018">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(ii) the Articles of Incorporation of the parent become the Articles of amalgamation of the</w:t>
      </w:r>
    </w:p>
    <w:p w:rsidR="00000000" w:rsidDel="00000000" w:rsidP="00000000" w:rsidRDefault="00000000" w:rsidRPr="00000000" w14:paraId="00000019">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amalgamated corporation,</w:t>
      </w:r>
    </w:p>
    <w:p w:rsidR="00000000" w:rsidDel="00000000" w:rsidP="00000000" w:rsidRDefault="00000000" w:rsidRPr="00000000" w14:paraId="0000001A">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(iii) no shares are issued by the amalgamated corporation in connection with the amalgamation,</w:t>
      </w:r>
    </w:p>
    <w:p w:rsidR="00000000" w:rsidDel="00000000" w:rsidP="00000000" w:rsidRDefault="00000000" w:rsidRPr="00000000" w14:paraId="0000001B">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and</w:t>
      </w:r>
    </w:p>
    <w:p w:rsidR="00000000" w:rsidDel="00000000" w:rsidP="00000000" w:rsidRDefault="00000000" w:rsidRPr="00000000" w14:paraId="0000001C">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(iv) the stated capital of the amalgamated corporation’s shares is equal to the stated capital of</w:t>
      </w:r>
    </w:p>
    <w:p w:rsidR="00000000" w:rsidDel="00000000" w:rsidP="00000000" w:rsidRDefault="00000000" w:rsidRPr="00000000" w14:paraId="0000001D">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the parent’s shares.</w:t>
      </w:r>
    </w:p>
    <w:p w:rsidR="00000000" w:rsidDel="00000000" w:rsidP="00000000" w:rsidRDefault="00000000" w:rsidRPr="00000000" w14:paraId="0000001E">
      <w:pPr>
        <w:rPr>
          <w:rFonts w:ascii="Times" w:cs="Times" w:eastAsia="Times" w:hAnsi="Times"/>
          <w:sz w:val="18"/>
          <w:szCs w:val="18"/>
        </w:rPr>
      </w:pPr>
      <w:r w:rsidDel="00000000" w:rsidR="00000000" w:rsidRPr="00000000">
        <w:rPr>
          <w:rtl w:val="0"/>
        </w:rPr>
      </w:r>
    </w:p>
    <w:p w:rsidR="00000000" w:rsidDel="00000000" w:rsidP="00000000" w:rsidRDefault="00000000" w:rsidRPr="00000000" w14:paraId="0000001F">
      <w:pPr>
        <w:rPr>
          <w:rFonts w:ascii="Times" w:cs="Times" w:eastAsia="Times" w:hAnsi="Times"/>
          <w:sz w:val="18"/>
          <w:szCs w:val="18"/>
        </w:rPr>
      </w:pPr>
      <w:r w:rsidDel="00000000" w:rsidR="00000000" w:rsidRPr="00000000">
        <w:rPr>
          <w:rFonts w:ascii="Times" w:cs="Times" w:eastAsia="Times" w:hAnsi="Times"/>
          <w:sz w:val="18"/>
          <w:szCs w:val="18"/>
          <w:rtl w:val="0"/>
        </w:rPr>
        <w:t xml:space="preserve">Criteria for qualifying vertical short form amalgamation</w:t>
      </w:r>
    </w:p>
    <w:p w:rsidR="00000000" w:rsidDel="00000000" w:rsidP="00000000" w:rsidRDefault="00000000" w:rsidRPr="00000000" w14:paraId="00000020">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 directors resolutions</w:t>
      </w:r>
    </w:p>
    <w:p w:rsidR="00000000" w:rsidDel="00000000" w:rsidP="00000000" w:rsidRDefault="00000000" w:rsidRPr="00000000" w14:paraId="00000021">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(ii) directors statements (OBCA) or directors declarations (CBCA)</w:t>
      </w:r>
    </w:p>
    <w:p w:rsidR="00000000" w:rsidDel="00000000" w:rsidP="00000000" w:rsidRDefault="00000000" w:rsidRPr="00000000" w14:paraId="00000022">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(iii) articles of amalgamation</w:t>
      </w:r>
    </w:p>
    <w:p w:rsidR="00000000" w:rsidDel="00000000" w:rsidP="00000000" w:rsidRDefault="00000000" w:rsidRPr="00000000" w14:paraId="00000023">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w:t>
      </w:r>
    </w:p>
    <w:p w:rsidR="00000000" w:rsidDel="00000000" w:rsidP="00000000" w:rsidRDefault="00000000" w:rsidRPr="00000000" w14:paraId="00000024">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 shareholders approval</w:t>
      </w:r>
    </w:p>
    <w:p w:rsidR="00000000" w:rsidDel="00000000" w:rsidP="00000000" w:rsidRDefault="00000000" w:rsidRPr="00000000" w14:paraId="00000025">
      <w:pPr>
        <w:spacing w:before="0" w:line="276" w:lineRule="auto"/>
        <w:ind w:left="720" w:firstLine="0"/>
        <w:rPr>
          <w:rFonts w:ascii="Times" w:cs="Times" w:eastAsia="Times" w:hAnsi="Times"/>
          <w:sz w:val="18"/>
          <w:szCs w:val="18"/>
        </w:rPr>
      </w:pPr>
      <w:r w:rsidDel="00000000" w:rsidR="00000000" w:rsidRPr="00000000">
        <w:rPr>
          <w:rFonts w:ascii="Times" w:cs="Times" w:eastAsia="Times" w:hAnsi="Times"/>
          <w:sz w:val="17"/>
          <w:szCs w:val="17"/>
          <w:rtl w:val="0"/>
        </w:rPr>
        <w:t xml:space="preserve">(ii) amalgamation agreement </w:t>
      </w:r>
      <w:r w:rsidDel="00000000" w:rsidR="00000000" w:rsidRPr="00000000">
        <w:rPr>
          <w:rtl w:val="0"/>
        </w:rPr>
      </w:r>
    </w:p>
    <w:p w:rsidR="00000000" w:rsidDel="00000000" w:rsidP="00000000" w:rsidRDefault="00000000" w:rsidRPr="00000000" w14:paraId="00000026">
      <w:pPr>
        <w:rPr>
          <w:rFonts w:ascii="Times" w:cs="Times" w:eastAsia="Times" w:hAnsi="Times"/>
          <w:sz w:val="18"/>
          <w:szCs w:val="18"/>
        </w:rPr>
      </w:pPr>
      <w:r w:rsidDel="00000000" w:rsidR="00000000" w:rsidRPr="00000000">
        <w:rPr>
          <w:rtl w:val="0"/>
        </w:rPr>
      </w:r>
    </w:p>
    <w:p w:rsidR="00000000" w:rsidDel="00000000" w:rsidP="00000000" w:rsidRDefault="00000000" w:rsidRPr="00000000" w14:paraId="00000027">
      <w:pPr>
        <w:rPr>
          <w:rFonts w:ascii="Times" w:cs="Times" w:eastAsia="Times" w:hAnsi="Times"/>
          <w:sz w:val="18"/>
          <w:szCs w:val="18"/>
        </w:rPr>
      </w:pPr>
      <w:r w:rsidDel="00000000" w:rsidR="00000000" w:rsidRPr="00000000">
        <w:rPr>
          <w:rtl w:val="0"/>
        </w:rPr>
      </w:r>
    </w:p>
    <w:p w:rsidR="00000000" w:rsidDel="00000000" w:rsidP="00000000" w:rsidRDefault="00000000" w:rsidRPr="00000000" w14:paraId="00000028">
      <w:pPr>
        <w:spacing w:before="0" w:line="276" w:lineRule="auto"/>
        <w:rPr>
          <w:rFonts w:ascii="Times" w:cs="Times" w:eastAsia="Times" w:hAnsi="Times"/>
          <w:sz w:val="17"/>
          <w:szCs w:val="17"/>
        </w:rPr>
      </w:pPr>
      <w:r w:rsidDel="00000000" w:rsidR="00000000" w:rsidRPr="00000000">
        <w:rPr>
          <w:rFonts w:ascii="Times" w:cs="Times" w:eastAsia="Times" w:hAnsi="Times"/>
          <w:sz w:val="17"/>
          <w:szCs w:val="17"/>
          <w:rtl w:val="0"/>
        </w:rPr>
        <w:t xml:space="preserve">On a qualifying vertical short-form amalgamation (parent and one or more wholly-owned subsidiaries), the legal steps are</w:t>
      </w:r>
    </w:p>
    <w:p w:rsidR="00000000" w:rsidDel="00000000" w:rsidP="00000000" w:rsidRDefault="00000000" w:rsidRPr="00000000" w14:paraId="00000029">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 directors resolutions</w:t>
      </w:r>
    </w:p>
    <w:p w:rsidR="00000000" w:rsidDel="00000000" w:rsidP="00000000" w:rsidRDefault="00000000" w:rsidRPr="00000000" w14:paraId="0000002A">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(ii) directors statements (OBCA) or directors declarations (CBCA)</w:t>
      </w:r>
    </w:p>
    <w:p w:rsidR="00000000" w:rsidDel="00000000" w:rsidP="00000000" w:rsidRDefault="00000000" w:rsidRPr="00000000" w14:paraId="0000002B">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(iii) articles of amalgamation</w:t>
      </w:r>
    </w:p>
    <w:p w:rsidR="00000000" w:rsidDel="00000000" w:rsidP="00000000" w:rsidRDefault="00000000" w:rsidRPr="00000000" w14:paraId="0000002C">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w:t>
      </w:r>
    </w:p>
    <w:p w:rsidR="00000000" w:rsidDel="00000000" w:rsidP="00000000" w:rsidRDefault="00000000" w:rsidRPr="00000000" w14:paraId="0000002D">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 shareholders approval</w:t>
      </w:r>
    </w:p>
    <w:p w:rsidR="00000000" w:rsidDel="00000000" w:rsidP="00000000" w:rsidRDefault="00000000" w:rsidRPr="00000000" w14:paraId="0000002E">
      <w:pPr>
        <w:spacing w:before="0" w:line="276" w:lineRule="auto"/>
        <w:ind w:left="720" w:firstLine="0"/>
        <w:rPr>
          <w:rFonts w:ascii="Times" w:cs="Times" w:eastAsia="Times" w:hAnsi="Times"/>
          <w:sz w:val="17"/>
          <w:szCs w:val="17"/>
        </w:rPr>
      </w:pPr>
      <w:r w:rsidDel="00000000" w:rsidR="00000000" w:rsidRPr="00000000">
        <w:rPr>
          <w:rFonts w:ascii="Times" w:cs="Times" w:eastAsia="Times" w:hAnsi="Times"/>
          <w:sz w:val="17"/>
          <w:szCs w:val="17"/>
          <w:rtl w:val="0"/>
        </w:rPr>
        <w:t xml:space="preserve">(ii) amalgamation agreement </w:t>
      </w:r>
    </w:p>
    <w:p w:rsidR="00000000" w:rsidDel="00000000" w:rsidP="00000000" w:rsidRDefault="00000000" w:rsidRPr="00000000" w14:paraId="0000002F">
      <w:pPr>
        <w:rPr>
          <w:rFonts w:ascii="Times" w:cs="Times" w:eastAsia="Times" w:hAnsi="Times"/>
          <w:sz w:val="18"/>
          <w:szCs w:val="18"/>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pageBreakBefore w:val="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ind w:left="5760" w:hanging="5760"/>
      <w:rPr/>
    </w:pPr>
    <w:r w:rsidDel="00000000" w:rsidR="00000000" w:rsidRPr="00000000">
      <w:rPr/>
      <w:drawing>
        <wp:inline distB="114300" distT="114300" distL="114300" distR="114300">
          <wp:extent cx="1771877" cy="954088"/>
          <wp:effectExtent b="0" l="0" r="0" t="0"/>
          <wp:docPr id="1" name="image1.png"/>
          <a:graphic>
            <a:graphicData uri="http://schemas.openxmlformats.org/drawingml/2006/picture">
              <pic:pic>
                <pic:nvPicPr>
                  <pic:cNvPr id="0" name="image1.png"/>
                  <pic:cNvPicPr preferRelativeResize="0"/>
                </pic:nvPicPr>
                <pic:blipFill>
                  <a:blip r:embed="rId1"/>
                  <a:srcRect b="2233" l="0" r="0" t="0"/>
                  <a:stretch>
                    <a:fillRect/>
                  </a:stretch>
                </pic:blipFill>
                <pic:spPr>
                  <a:xfrm>
                    <a:off x="0" y="0"/>
                    <a:ext cx="1771877" cy="9540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spacing w:before="320" w:line="240" w:lineRule="auto"/>
    </w:pPr>
    <w:rPr>
      <w:b w:val="1"/>
      <w:bCs w:val="1"/>
      <w:color w:val="1d4771"/>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