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 - Amalgamation </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ym3u8q52c6ma" w:id="4"/>
      <w:bookmarkEnd w:id="4"/>
      <w:r w:rsidDel="00000000" w:rsidR="00000000" w:rsidRPr="00000000">
        <w:rPr>
          <w:rtl w:val="0"/>
        </w:rPr>
        <w:t xml:space="preserve">Types of Transactions </w:t>
      </w:r>
    </w:p>
    <w:p w:rsidR="00000000" w:rsidDel="00000000" w:rsidP="00000000" w:rsidRDefault="00000000" w:rsidRPr="00000000" w14:paraId="0000000D">
      <w:pPr>
        <w:pStyle w:val="Heading2"/>
        <w:rPr/>
      </w:pPr>
      <w:bookmarkStart w:colFirst="0" w:colLast="0" w:name="_5c355uz22ru7" w:id="5"/>
      <w:bookmarkEnd w:id="5"/>
      <w:r w:rsidDel="00000000" w:rsidR="00000000" w:rsidRPr="00000000">
        <w:rPr>
          <w:rtl w:val="0"/>
        </w:rPr>
        <w:t xml:space="preserve">1.</w:t>
        <w:tab/>
        <w:t xml:space="preserve">Share Purchase / Sale</w:t>
      </w:r>
    </w:p>
    <w:p w:rsidR="00000000" w:rsidDel="00000000" w:rsidP="00000000" w:rsidRDefault="00000000" w:rsidRPr="00000000" w14:paraId="0000000E">
      <w:pPr>
        <w:pStyle w:val="Heading2"/>
        <w:rPr/>
      </w:pPr>
      <w:bookmarkStart w:colFirst="0" w:colLast="0" w:name="_n13ti3qszdwx" w:id="6"/>
      <w:bookmarkEnd w:id="6"/>
      <w:r w:rsidDel="00000000" w:rsidR="00000000" w:rsidRPr="00000000">
        <w:rPr>
          <w:rtl w:val="0"/>
        </w:rPr>
        <w:t xml:space="preserve">2. </w:t>
        <w:tab/>
        <w:t xml:space="preserve">Asset Purchase / Sale</w:t>
      </w:r>
    </w:p>
    <w:p w:rsidR="00000000" w:rsidDel="00000000" w:rsidP="00000000" w:rsidRDefault="00000000" w:rsidRPr="00000000" w14:paraId="0000000F">
      <w:pPr>
        <w:pStyle w:val="Heading2"/>
        <w:rPr/>
      </w:pPr>
      <w:bookmarkStart w:colFirst="0" w:colLast="0" w:name="_n9458o45n225" w:id="7"/>
      <w:bookmarkEnd w:id="7"/>
      <w:r w:rsidDel="00000000" w:rsidR="00000000" w:rsidRPr="00000000">
        <w:rPr>
          <w:rtl w:val="0"/>
        </w:rPr>
        <w:t xml:space="preserve">3.</w:t>
        <w:tab/>
        <w:t xml:space="preserve">Amalgamations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yalf4p2wq309" w:id="8"/>
      <w:bookmarkEnd w:id="8"/>
      <w:r w:rsidDel="00000000" w:rsidR="00000000" w:rsidRPr="00000000">
        <w:rPr>
          <w:rtl w:val="0"/>
        </w:rPr>
        <w:t xml:space="preserve">Types of Amalgamations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ddpwk768sklf" w:id="9"/>
      <w:bookmarkEnd w:id="9"/>
      <w:r w:rsidDel="00000000" w:rsidR="00000000" w:rsidRPr="00000000">
        <w:rPr>
          <w:rtl w:val="0"/>
        </w:rPr>
        <w:t xml:space="preserve">1.</w:t>
        <w:tab/>
        <w:t xml:space="preserve">Vertical </w:t>
      </w:r>
    </w:p>
    <w:p w:rsidR="00000000" w:rsidDel="00000000" w:rsidP="00000000" w:rsidRDefault="00000000" w:rsidRPr="00000000" w14:paraId="00000014">
      <w:pPr>
        <w:pStyle w:val="Heading2"/>
        <w:rPr/>
      </w:pPr>
      <w:bookmarkStart w:colFirst="0" w:colLast="0" w:name="_al9hkjabtl5o" w:id="10"/>
      <w:bookmarkEnd w:id="10"/>
      <w:r w:rsidDel="00000000" w:rsidR="00000000" w:rsidRPr="00000000">
        <w:rPr>
          <w:rtl w:val="0"/>
        </w:rPr>
        <w:t xml:space="preserve">2. </w:t>
        <w:tab/>
        <w:t xml:space="preserve">Horizontal </w:t>
      </w:r>
    </w:p>
    <w:p w:rsidR="00000000" w:rsidDel="00000000" w:rsidP="00000000" w:rsidRDefault="00000000" w:rsidRPr="00000000" w14:paraId="00000015">
      <w:pPr>
        <w:pStyle w:val="Heading2"/>
        <w:rPr/>
      </w:pPr>
      <w:bookmarkStart w:colFirst="0" w:colLast="0" w:name="_k7gi76dl695z" w:id="11"/>
      <w:bookmarkEnd w:id="11"/>
      <w:r w:rsidDel="00000000" w:rsidR="00000000" w:rsidRPr="00000000">
        <w:rPr>
          <w:rtl w:val="0"/>
        </w:rPr>
        <w:t xml:space="preserve">3.</w:t>
        <w:tab/>
        <w:t xml:space="preserve">Triangle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b4lozwpyg7q5" w:id="12"/>
      <w:bookmarkEnd w:id="12"/>
      <w:r w:rsidDel="00000000" w:rsidR="00000000" w:rsidRPr="00000000">
        <w:rPr>
          <w:rtl w:val="0"/>
        </w:rPr>
      </w:r>
    </w:p>
    <w:p w:rsidR="00000000" w:rsidDel="00000000" w:rsidP="00000000" w:rsidRDefault="00000000" w:rsidRPr="00000000" w14:paraId="00000019">
      <w:pPr>
        <w:pStyle w:val="Heading1"/>
        <w:spacing w:before="0" w:line="408" w:lineRule="auto"/>
        <w:rPr/>
      </w:pPr>
      <w:bookmarkStart w:colFirst="0" w:colLast="0" w:name="_6awna1zfp8s8" w:id="13"/>
      <w:bookmarkEnd w:id="13"/>
      <w:r w:rsidDel="00000000" w:rsidR="00000000" w:rsidRPr="00000000">
        <w:rPr>
          <w:rtl w:val="0"/>
        </w:rPr>
        <w:t xml:space="preserve">Amalgamation</w:t>
      </w:r>
      <w:r w:rsidDel="00000000" w:rsidR="00000000" w:rsidRPr="00000000">
        <w:rPr>
          <w:rtl w:val="0"/>
        </w:rPr>
        <w:t xml:space="preserve"> Generally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is the </w:t>
      </w:r>
      <w:r w:rsidDel="00000000" w:rsidR="00000000" w:rsidRPr="00000000">
        <w:rPr>
          <w:rFonts w:ascii="Verdana" w:cs="Verdana" w:eastAsia="Verdana" w:hAnsi="Verdana"/>
          <w:color w:val="212121"/>
          <w:sz w:val="18"/>
          <w:szCs w:val="18"/>
          <w:rtl w:val="0"/>
        </w:rPr>
        <w:t xml:space="preserve">consolidation</w:t>
      </w:r>
      <w:r w:rsidDel="00000000" w:rsidR="00000000" w:rsidRPr="00000000">
        <w:rPr>
          <w:rFonts w:ascii="Verdana" w:cs="Verdana" w:eastAsia="Verdana" w:hAnsi="Verdana"/>
          <w:color w:val="212121"/>
          <w:sz w:val="18"/>
          <w:szCs w:val="18"/>
          <w:rtl w:val="0"/>
        </w:rPr>
        <w:t xml:space="preserve"> of two or more corporations into a single commercial entity. In Canada, an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is a statutory process; there is no comparable common law process. While other provincial or territorial corporate statutes may apply depending on the transaction, this note is focused on the OBCA and the CBCA.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the Supreme Court of Canada stated in </w:t>
      </w:r>
      <w:r w:rsidDel="00000000" w:rsidR="00000000" w:rsidRPr="00000000">
        <w:rPr>
          <w:rFonts w:ascii="Verdana" w:cs="Verdana" w:eastAsia="Verdana" w:hAnsi="Verdana"/>
          <w:i w:val="1"/>
          <w:iCs w:val="1"/>
          <w:color w:val="212121"/>
          <w:sz w:val="18"/>
          <w:szCs w:val="18"/>
          <w:rtl w:val="0"/>
        </w:rPr>
        <w:t xml:space="preserve">R. v. Black and Decker Manufacturing Co</w:t>
      </w:r>
      <w:r w:rsidDel="00000000" w:rsidR="00000000" w:rsidRPr="00000000">
        <w:rPr>
          <w:rFonts w:ascii="Verdana" w:cs="Verdana" w:eastAsia="Verdana" w:hAnsi="Verdana"/>
          <w:color w:val="212121"/>
          <w:sz w:val="18"/>
          <w:szCs w:val="18"/>
          <w:rtl w:val="0"/>
        </w:rPr>
        <w:t xml:space="preserve">, </w:t>
      </w:r>
      <w:hyperlink r:id="rId6">
        <w:r w:rsidDel="00000000" w:rsidR="00000000" w:rsidRPr="00000000">
          <w:rPr>
            <w:rFonts w:ascii="Verdana" w:cs="Verdana" w:eastAsia="Verdana" w:hAnsi="Verdana"/>
            <w:color w:val="006ebb"/>
            <w:sz w:val="18"/>
            <w:szCs w:val="18"/>
            <w:u w:val="single"/>
            <w:rtl w:val="0"/>
          </w:rPr>
          <w:t xml:space="preserve">[1974] S.C.J. No. 56</w:t>
        </w:r>
      </w:hyperlink>
      <w:r w:rsidDel="00000000" w:rsidR="00000000" w:rsidRPr="00000000">
        <w:rPr>
          <w:rFonts w:ascii="Verdana" w:cs="Verdana" w:eastAsia="Verdana" w:hAnsi="Verdana"/>
          <w:color w:val="212121"/>
          <w:sz w:val="18"/>
          <w:szCs w:val="18"/>
          <w:rtl w:val="0"/>
        </w:rPr>
        <w:t xml:space="preserve"> — a case concerning the criminal liability of an amalgamated entity for offences committed prior to the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 the purpose of </w:t>
      </w:r>
      <w:r w:rsidDel="00000000" w:rsidR="00000000" w:rsidRPr="00000000">
        <w:rPr>
          <w:rFonts w:ascii="Verdana" w:cs="Verdana" w:eastAsia="Verdana" w:hAnsi="Verdana"/>
          <w:color w:val="212121"/>
          <w:sz w:val="18"/>
          <w:szCs w:val="18"/>
          <w:rtl w:val="0"/>
        </w:rPr>
        <w:t xml:space="preserve">amalgamations</w:t>
      </w:r>
      <w:r w:rsidDel="00000000" w:rsidR="00000000" w:rsidRPr="00000000">
        <w:rPr>
          <w:rFonts w:ascii="Verdana" w:cs="Verdana" w:eastAsia="Verdana" w:hAnsi="Verdana"/>
          <w:color w:val="212121"/>
          <w:sz w:val="18"/>
          <w:szCs w:val="18"/>
          <w:rtl w:val="0"/>
        </w:rPr>
        <w:t xml:space="preserve"> has historically been an economic one: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purpose is economic: to build, to consolidate, perhaps to diversify, existing businesses; so that through union there will be enhanced strength. It is a joining of forces and resources in order to perform better in the economic field.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such, amalgamations are unsurprisingly a useful tool in M&amp;A. An amalgamation is similar to the U.S. concept of a "merger", as it is a statutory means of combining two or more corporations incorporated under the same statute into one continuing amalgamated corporation. However, unlike in the U.S., both parties to the merger survive.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Upon an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what is sometimes called "successorship" occurs when the single surviving corporation becomes invested by law with the rights, and assumes the obligations, of all of the amalgamating corporations. Thus, for example, assets owned in the names of all predecessor corporations are now owned by the amalgamated corporation and contracts that were entered into in the names of the predecessor corporations are binding upon and must be fulfilled by the amalgamated corporation.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transfer of property from the predecessor corporations to the resulting corporation is not a conveyance, and it does not result from an agreement of purchase and sale. Instead, immediately upon the issuance of a certificate of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the amalgamated corporation "possesses all the property, rights, privileges and franchises and is subject to all liabilities, including civil, criminal and quasi-criminal, and all contracts, disabilities and debts of each of the amalgamating corporations" (OBCA, s. </w:t>
      </w:r>
      <w:hyperlink r:id="rId7">
        <w:r w:rsidDel="00000000" w:rsidR="00000000" w:rsidRPr="00000000">
          <w:rPr>
            <w:rFonts w:ascii="Verdana" w:cs="Verdana" w:eastAsia="Verdana" w:hAnsi="Verdana"/>
            <w:color w:val="006ebb"/>
            <w:sz w:val="18"/>
            <w:szCs w:val="18"/>
            <w:u w:val="single"/>
            <w:rtl w:val="0"/>
          </w:rPr>
          <w:t xml:space="preserve">179</w:t>
        </w:r>
      </w:hyperlink>
      <w:r w:rsidDel="00000000" w:rsidR="00000000" w:rsidRPr="00000000">
        <w:rPr>
          <w:rFonts w:ascii="Verdana" w:cs="Verdana" w:eastAsia="Verdana" w:hAnsi="Verdana"/>
          <w:color w:val="212121"/>
          <w:sz w:val="18"/>
          <w:szCs w:val="18"/>
          <w:rtl w:val="0"/>
        </w:rPr>
        <w:t xml:space="preserve">(b)). Sections </w:t>
      </w:r>
      <w:hyperlink r:id="rId8">
        <w:r w:rsidDel="00000000" w:rsidR="00000000" w:rsidRPr="00000000">
          <w:rPr>
            <w:rFonts w:ascii="Verdana" w:cs="Verdana" w:eastAsia="Verdana" w:hAnsi="Verdana"/>
            <w:color w:val="006ebb"/>
            <w:sz w:val="18"/>
            <w:szCs w:val="18"/>
            <w:u w:val="single"/>
            <w:rtl w:val="0"/>
          </w:rPr>
          <w:t xml:space="preserve">186</w:t>
        </w:r>
      </w:hyperlink>
      <w:r w:rsidDel="00000000" w:rsidR="00000000" w:rsidRPr="00000000">
        <w:rPr>
          <w:rFonts w:ascii="Verdana" w:cs="Verdana" w:eastAsia="Verdana" w:hAnsi="Verdana"/>
          <w:color w:val="212121"/>
          <w:sz w:val="18"/>
          <w:szCs w:val="18"/>
          <w:rtl w:val="0"/>
        </w:rPr>
        <w:t xml:space="preserve">(b), (c), (d) and (e) of the CBCA similarly provide that:</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80" w:before="280"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the property of each amalgamating corporation continues to be the property of the amalgamated corporation;</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80" w:before="460"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the amalgamated corporation continues to be liable for the obligations of each amalgamating corporation;</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80" w:before="460"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an existing cause of action, claim or liability to prosecution is unaffected; and</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80" w:before="460"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a civil, criminal or administrative action or proceeding pending by or against an amalgamating corporation may be continued to be prosecuted by or against the amalgamated corporation.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 Id="rId7"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 Id="rId8"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