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gsbjqqmc712" w:id="0"/>
      <w:bookmarkEnd w:id="0"/>
      <w:r w:rsidDel="00000000" w:rsidR="00000000" w:rsidRPr="00000000">
        <w:rPr>
          <w:rtl w:val="0"/>
        </w:rPr>
        <w:t xml:space="preserve">Transaction - Closing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aq90rj27v6dn" w:id="1"/>
      <w:bookmarkEnd w:id="1"/>
      <w:r w:rsidDel="00000000" w:rsidR="00000000" w:rsidRPr="00000000">
        <w:rPr>
          <w:rtl w:val="0"/>
        </w:rPr>
        <w:t xml:space="preserve">SP List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222222"/>
          <w:rtl w:val="0"/>
        </w:rPr>
        <w:t xml:space="preserve">Share Purchase Agreement (both clean and blackline)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222222"/>
          <w:rtl w:val="0"/>
        </w:rPr>
        <w:t xml:space="preserve">Draft Officer’s Certificate for Mascore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222222"/>
          <w:rtl w:val="0"/>
        </w:rPr>
        <w:t xml:space="preserve">Draft. S. 56.4 Election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222222"/>
          <w:rtl w:val="0"/>
        </w:rPr>
        <w:t xml:space="preserve">Draft Directors Resolution of Mascore (both clean and blackline) 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222222"/>
          <w:rtl w:val="0"/>
        </w:rPr>
        <w:t xml:space="preserve">Rectification Resolution (Both clean and blackline)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222222"/>
          <w:rtl w:val="0"/>
        </w:rPr>
        <w:t xml:space="preserve">Full and Final Release – Stefan (both clean and blackline)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222222"/>
          <w:rtl w:val="0"/>
        </w:rPr>
        <w:t xml:space="preserve">Acknowledgement of Conflict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222222"/>
          <w:rtl w:val="0"/>
        </w:rPr>
        <w:t xml:space="preserve">Direction re Funds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222222"/>
          <w:rtl w:val="0"/>
        </w:rPr>
        <w:t xml:space="preserve">Release of Vendor by Mascore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222222"/>
          <w:rtl w:val="0"/>
        </w:rPr>
        <w:t xml:space="preserve">Resignation by Stefan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222222"/>
          <w:rtl w:val="0"/>
        </w:rPr>
        <w:t xml:space="preserve">Resolution to approve New Officers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222222"/>
          <w:rtl w:val="0"/>
        </w:rPr>
        <w:t xml:space="preserve">Resolution to approve New Sole Director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222222"/>
          <w:rtl w:val="0"/>
        </w:rPr>
        <w:t xml:space="preserve">Resolution to approve new Number of Directors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222222"/>
          <w:rtl w:val="0"/>
        </w:rPr>
        <w:t xml:space="preserve">Section 116 Certificate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222222"/>
          <w:rtl w:val="0"/>
        </w:rPr>
        <w:t xml:space="preserve">Share Transfer Form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222222"/>
          <w:rtl w:val="0"/>
        </w:rPr>
        <w:t xml:space="preserve">Resoltion to Approve Share Transfer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222222"/>
          <w:rtl w:val="0"/>
        </w:rPr>
        <w:t xml:space="preserve">Closing Agenda (both clean and blackline)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222222"/>
          <w:rtl w:val="0"/>
        </w:rPr>
        <w:t xml:space="preserve">Draft Dissolution Documents for 1000326683 Ontario Inc.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222222"/>
          <w:rtl w:val="0"/>
        </w:rPr>
        <w:t xml:space="preserve">Non-Compete Agreement (attached is a blackline  and clean. My client provided an email where Max agreed to the terms set out herein, being no restriction on installation, 3 years on non complete and 5 years on non solicit). Let us know if you have different terms as provided by your client. 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3076575</wp:posOffset>
          </wp:positionH>
          <wp:positionV relativeFrom="paragraph">
            <wp:posOffset>438150</wp:posOffset>
          </wp:positionV>
          <wp:extent cx="3328988" cy="18439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28988" cy="18439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spacing w:before="200" w:line="312" w:lineRule="auto"/>
      <w:ind w:left="5760"/>
      <w:rPr/>
    </w:pPr>
    <w:r w:rsidDel="00000000" w:rsidR="00000000" w:rsidRPr="00000000">
      <w:rPr>
        <w:rFonts w:ascii="Proxima Nova" w:cs="Proxima Nova" w:eastAsia="Proxima Nova" w:hAnsi="Proxima Nova"/>
        <w:color w:val="353744"/>
      </w:rPr>
      <w:drawing>
        <wp:inline distB="114300" distT="114300" distL="114300" distR="114300">
          <wp:extent cx="1804988" cy="1804988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4988" cy="18049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1e4063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1e4063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both"/>
    </w:pPr>
    <w:rPr>
      <w:rFonts w:ascii="Montserrat SemiBold" w:cs="Montserrat SemiBold" w:eastAsia="Montserrat SemiBold" w:hAnsi="Montserrat SemiBold"/>
      <w:color w:val="1e4063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ProximaNova-regular.ttf"/><Relationship Id="rId6" Type="http://schemas.openxmlformats.org/officeDocument/2006/relationships/font" Target="fonts/ProximaNova-bold.ttf"/><Relationship Id="rId7" Type="http://schemas.openxmlformats.org/officeDocument/2006/relationships/font" Target="fonts/ProximaNova-italic.ttf"/><Relationship Id="rId8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